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C9D48B0" w14:textId="77777777" w:rsidR="0003249B" w:rsidRDefault="00000000">
      <w:pPr>
        <w:spacing w:after="240"/>
        <w:jc w:val="center"/>
        <w:rPr>
          <w:b/>
        </w:rPr>
      </w:pPr>
      <w:r>
        <w:rPr>
          <w:b/>
        </w:rPr>
        <w:t>“Publiskās apspriešanas laikā 25.11.2024. - 09.12.2024. saņemto viedokļu, priekšlikumu un iebildumu apkopojums par Grozījumi Ministru kabineta 2018. gada 20. marta noteikumos Nr.&amp;nbsp;169 "Būvspeciālistu kompetences novērtēšanas un patstāvīgās prakses uzraudzības noteikumi"”</w:t>
      </w:r>
    </w:p>
    <w:tbl>
      <w:tblPr>
        <w:tblStyle w:val="a"/>
        <w:tblW w:w="14567"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750"/>
        <w:gridCol w:w="1654"/>
        <w:gridCol w:w="6457"/>
        <w:gridCol w:w="1650"/>
        <w:gridCol w:w="4056"/>
      </w:tblGrid>
      <w:tr w:rsidR="0003249B" w14:paraId="53C5F234" w14:textId="77777777" w:rsidTr="00E91541">
        <w:tc>
          <w:tcPr>
            <w:tcW w:w="750" w:type="dxa"/>
            <w:shd w:val="clear" w:color="auto" w:fill="FFFFFF"/>
            <w:noWrap/>
            <w:tcMar>
              <w:top w:w="75" w:type="dxa"/>
              <w:left w:w="75" w:type="dxa"/>
              <w:bottom w:w="75" w:type="dxa"/>
              <w:right w:w="75" w:type="dxa"/>
            </w:tcMar>
            <w:vAlign w:val="center"/>
          </w:tcPr>
          <w:p w14:paraId="08FA3798" w14:textId="77777777" w:rsidR="0003249B" w:rsidRDefault="00000000">
            <w:pPr>
              <w:jc w:val="center"/>
            </w:pPr>
            <w:proofErr w:type="spellStart"/>
            <w:r>
              <w:rPr>
                <w:b/>
              </w:rPr>
              <w:t>Nr.p.k</w:t>
            </w:r>
            <w:proofErr w:type="spellEnd"/>
            <w:r>
              <w:rPr>
                <w:b/>
              </w:rPr>
              <w:t>.</w:t>
            </w:r>
          </w:p>
        </w:tc>
        <w:tc>
          <w:tcPr>
            <w:tcW w:w="1654" w:type="dxa"/>
            <w:shd w:val="clear" w:color="auto" w:fill="FFFFFF"/>
            <w:noWrap/>
            <w:tcMar>
              <w:top w:w="75" w:type="dxa"/>
              <w:left w:w="75" w:type="dxa"/>
              <w:bottom w:w="75" w:type="dxa"/>
              <w:right w:w="75" w:type="dxa"/>
            </w:tcMar>
            <w:vAlign w:val="center"/>
          </w:tcPr>
          <w:p w14:paraId="023389C8" w14:textId="77777777" w:rsidR="0003249B" w:rsidRDefault="00000000">
            <w:pPr>
              <w:jc w:val="center"/>
            </w:pPr>
            <w:r>
              <w:rPr>
                <w:b/>
              </w:rPr>
              <w:t>Viedokļa / priekšlikuma / iebilduma iesniedzējs*</w:t>
            </w:r>
          </w:p>
        </w:tc>
        <w:tc>
          <w:tcPr>
            <w:tcW w:w="6457" w:type="dxa"/>
            <w:shd w:val="clear" w:color="auto" w:fill="FFFFFF"/>
            <w:noWrap/>
            <w:tcMar>
              <w:top w:w="75" w:type="dxa"/>
              <w:left w:w="75" w:type="dxa"/>
              <w:bottom w:w="75" w:type="dxa"/>
              <w:right w:w="75" w:type="dxa"/>
            </w:tcMar>
            <w:vAlign w:val="center"/>
          </w:tcPr>
          <w:p w14:paraId="0E395CAE" w14:textId="77777777" w:rsidR="0003249B" w:rsidRDefault="00000000">
            <w:pPr>
              <w:jc w:val="center"/>
            </w:pPr>
            <w:r>
              <w:rPr>
                <w:b/>
              </w:rPr>
              <w:t>Iesniegtā viedokļa / priekšlikuma / iebilduma būtība</w:t>
            </w:r>
          </w:p>
        </w:tc>
        <w:tc>
          <w:tcPr>
            <w:tcW w:w="1650" w:type="dxa"/>
            <w:shd w:val="clear" w:color="auto" w:fill="FFFFFF"/>
            <w:noWrap/>
            <w:tcMar>
              <w:top w:w="75" w:type="dxa"/>
              <w:left w:w="75" w:type="dxa"/>
              <w:bottom w:w="75" w:type="dxa"/>
              <w:right w:w="75" w:type="dxa"/>
            </w:tcMar>
            <w:vAlign w:val="center"/>
          </w:tcPr>
          <w:p w14:paraId="49A53A55" w14:textId="77777777" w:rsidR="0003249B" w:rsidRDefault="00000000">
            <w:pPr>
              <w:jc w:val="center"/>
            </w:pPr>
            <w:r>
              <w:rPr>
                <w:b/>
              </w:rPr>
              <w:t>Ņemts vērā / ņemts vērā daļēji / nav ņemts vērā</w:t>
            </w:r>
          </w:p>
        </w:tc>
        <w:tc>
          <w:tcPr>
            <w:tcW w:w="4056" w:type="dxa"/>
            <w:shd w:val="clear" w:color="auto" w:fill="FFFFFF"/>
            <w:noWrap/>
            <w:tcMar>
              <w:top w:w="75" w:type="dxa"/>
              <w:left w:w="75" w:type="dxa"/>
              <w:bottom w:w="75" w:type="dxa"/>
              <w:right w:w="75" w:type="dxa"/>
            </w:tcMar>
            <w:vAlign w:val="center"/>
          </w:tcPr>
          <w:p w14:paraId="62BBA56B" w14:textId="77777777" w:rsidR="0003249B" w:rsidRDefault="00000000">
            <w:pPr>
              <w:jc w:val="center"/>
            </w:pPr>
            <w:r>
              <w:rPr>
                <w:b/>
              </w:rPr>
              <w:t>Skaidrojums, kādā veidā viedoklis / priekšlikums / iebildums ir ņemts vērā vai ņemts vērā daļēji, vai pamatojums, ja viedoklis / priekšlikums / iebildums nav ņemts vērā</w:t>
            </w:r>
          </w:p>
        </w:tc>
      </w:tr>
      <w:tr w:rsidR="0003249B" w14:paraId="37FA7DC6" w14:textId="77777777" w:rsidTr="00E91541">
        <w:tc>
          <w:tcPr>
            <w:tcW w:w="750" w:type="dxa"/>
            <w:shd w:val="clear" w:color="auto" w:fill="FFFFFF"/>
            <w:noWrap/>
            <w:tcMar>
              <w:top w:w="75" w:type="dxa"/>
              <w:left w:w="75" w:type="dxa"/>
              <w:bottom w:w="75" w:type="dxa"/>
              <w:right w:w="75" w:type="dxa"/>
            </w:tcMar>
            <w:vAlign w:val="center"/>
          </w:tcPr>
          <w:p w14:paraId="6BE9AA27" w14:textId="77777777" w:rsidR="0003249B" w:rsidRDefault="00000000">
            <w:pPr>
              <w:jc w:val="center"/>
            </w:pPr>
            <w:r>
              <w:t>1.</w:t>
            </w:r>
          </w:p>
        </w:tc>
        <w:tc>
          <w:tcPr>
            <w:tcW w:w="1654" w:type="dxa"/>
            <w:shd w:val="clear" w:color="auto" w:fill="FFFFFF"/>
            <w:noWrap/>
            <w:tcMar>
              <w:top w:w="75" w:type="dxa"/>
              <w:left w:w="75" w:type="dxa"/>
              <w:bottom w:w="75" w:type="dxa"/>
              <w:right w:w="75" w:type="dxa"/>
            </w:tcMar>
            <w:vAlign w:val="center"/>
          </w:tcPr>
          <w:p w14:paraId="7E317E45" w14:textId="77777777" w:rsidR="0003249B" w:rsidRDefault="00000000">
            <w:pPr>
              <w:jc w:val="left"/>
            </w:pPr>
            <w:r>
              <w:t>Fiziska persona</w:t>
            </w:r>
          </w:p>
        </w:tc>
        <w:tc>
          <w:tcPr>
            <w:tcW w:w="6457" w:type="dxa"/>
            <w:shd w:val="clear" w:color="auto" w:fill="FFFFFF"/>
            <w:noWrap/>
            <w:tcMar>
              <w:top w:w="75" w:type="dxa"/>
              <w:left w:w="75" w:type="dxa"/>
              <w:bottom w:w="75" w:type="dxa"/>
              <w:right w:w="75" w:type="dxa"/>
            </w:tcMar>
            <w:vAlign w:val="center"/>
          </w:tcPr>
          <w:p w14:paraId="4BC610AE" w14:textId="77777777" w:rsidR="0003249B" w:rsidRDefault="00000000">
            <w:pPr>
              <w:jc w:val="left"/>
            </w:pPr>
            <w:r>
              <w:t>Lūdzu precizēt piezīmi Nr. 22 šādā redakcijā: „Būvspeciālists atbilstoši kompetencei var veikt arī projektēšanas, būvdarbu vadīšanas un būvuzraudzības, būvprojektu un būvju ekspertīzes darbus arī krastmalām ar dažādu veidu krasta nostiprinājumiem un estakādes tipa iekšzemes ūdeņu piestātnēm ārpus ostu teritorijas.” Esošā redakcija neatbilst nolemtajam nozares speciālistu sanāksmē un netiek ievērots piesardzības princips.</w:t>
            </w:r>
            <w:r>
              <w:br/>
            </w:r>
          </w:p>
        </w:tc>
        <w:tc>
          <w:tcPr>
            <w:tcW w:w="1650" w:type="dxa"/>
            <w:shd w:val="clear" w:color="auto" w:fill="FFFFFF"/>
            <w:noWrap/>
            <w:tcMar>
              <w:top w:w="75" w:type="dxa"/>
              <w:left w:w="75" w:type="dxa"/>
              <w:bottom w:w="75" w:type="dxa"/>
              <w:right w:w="75" w:type="dxa"/>
            </w:tcMar>
            <w:vAlign w:val="center"/>
          </w:tcPr>
          <w:p w14:paraId="087AC78B" w14:textId="4FB3D909" w:rsidR="0003249B" w:rsidRDefault="006D2041">
            <w:pPr>
              <w:jc w:val="left"/>
            </w:pPr>
            <w:r>
              <w:t>Nav ņemts vērā</w:t>
            </w:r>
          </w:p>
        </w:tc>
        <w:tc>
          <w:tcPr>
            <w:tcW w:w="4056" w:type="dxa"/>
            <w:shd w:val="clear" w:color="auto" w:fill="FFFFFF"/>
            <w:noWrap/>
            <w:tcMar>
              <w:top w:w="75" w:type="dxa"/>
              <w:left w:w="75" w:type="dxa"/>
              <w:bottom w:w="75" w:type="dxa"/>
              <w:right w:w="75" w:type="dxa"/>
            </w:tcMar>
            <w:vAlign w:val="center"/>
          </w:tcPr>
          <w:p w14:paraId="6945DB49" w14:textId="46DF5982" w:rsidR="0003249B" w:rsidRDefault="006D2041">
            <w:pPr>
              <w:jc w:val="left"/>
            </w:pPr>
            <w:r>
              <w:t xml:space="preserve">Noteikumu projektā tika iekļauta tāda redakcija, kas bija saskaņota ar biedrības “Latvijas būvinženieru savienība” darba grupu, kurā tika izskatīts jautājums par kopīgajām kompetencēm tiltu jomas un ostu un jūras hidrotehnisko būvju jomas būvspeciālistiem. </w:t>
            </w:r>
          </w:p>
        </w:tc>
      </w:tr>
      <w:tr w:rsidR="0003249B" w14:paraId="4E9E2114" w14:textId="77777777" w:rsidTr="00E91541">
        <w:tc>
          <w:tcPr>
            <w:tcW w:w="750" w:type="dxa"/>
            <w:shd w:val="clear" w:color="auto" w:fill="FFFFFF"/>
            <w:noWrap/>
            <w:tcMar>
              <w:top w:w="75" w:type="dxa"/>
              <w:left w:w="75" w:type="dxa"/>
              <w:bottom w:w="75" w:type="dxa"/>
              <w:right w:w="75" w:type="dxa"/>
            </w:tcMar>
            <w:vAlign w:val="center"/>
          </w:tcPr>
          <w:p w14:paraId="1FB7F13E" w14:textId="77777777" w:rsidR="0003249B" w:rsidRDefault="00000000">
            <w:pPr>
              <w:jc w:val="center"/>
            </w:pPr>
            <w:r>
              <w:t>2.</w:t>
            </w:r>
          </w:p>
        </w:tc>
        <w:tc>
          <w:tcPr>
            <w:tcW w:w="1654" w:type="dxa"/>
            <w:shd w:val="clear" w:color="auto" w:fill="FFFFFF"/>
            <w:noWrap/>
            <w:tcMar>
              <w:top w:w="75" w:type="dxa"/>
              <w:left w:w="75" w:type="dxa"/>
              <w:bottom w:w="75" w:type="dxa"/>
              <w:right w:w="75" w:type="dxa"/>
            </w:tcMar>
            <w:vAlign w:val="center"/>
          </w:tcPr>
          <w:p w14:paraId="6EAEA8F8" w14:textId="77777777" w:rsidR="0003249B" w:rsidRDefault="00000000">
            <w:pPr>
              <w:jc w:val="left"/>
            </w:pPr>
            <w:r>
              <w:t>*Sabiedrība ar ierobežotu atbildību "Firma L4"</w:t>
            </w:r>
          </w:p>
        </w:tc>
        <w:tc>
          <w:tcPr>
            <w:tcW w:w="6457" w:type="dxa"/>
            <w:shd w:val="clear" w:color="auto" w:fill="FFFFFF"/>
            <w:noWrap/>
            <w:tcMar>
              <w:top w:w="75" w:type="dxa"/>
              <w:left w:w="75" w:type="dxa"/>
              <w:bottom w:w="75" w:type="dxa"/>
              <w:right w:w="75" w:type="dxa"/>
            </w:tcMar>
            <w:vAlign w:val="center"/>
          </w:tcPr>
          <w:p w14:paraId="3D951CF1" w14:textId="77777777" w:rsidR="0003249B" w:rsidRDefault="00000000">
            <w:pPr>
              <w:jc w:val="left"/>
            </w:pPr>
            <w:r>
              <w:t xml:space="preserve">Noteikumu 1.pielikumā iekļautā 21.piezīme, kas nosaka, ka noteikumu 1.pielikuma 2.2.13. punktā (ceļu projektēšana) un 2.5.3.punktā (ceļu būvprojektu ekspertīze) norādīto jomu būvspeciālisti atbilstoši kompetencei cita starpā var veikt arī projektēšanas, </w:t>
            </w:r>
            <w:r>
              <w:lastRenderedPageBreak/>
              <w:t>būvprojektu ekspertīzes darbus arī sliežu ceļu būvēm līdz sliežu ceļu daļai (to neieskaitot), tai skaitā zemes klātnes daļai, pārvadiem un caurtekām, pasažieru peroniem, autoceļu un gājēju tuneļiem zem dzelzceļa, pārbrauktuvēm un pārejām, prettrokšņu žogiem, ir nepamatota un nekādā veidā nenodrošinās dzelzceļa būvprojektu izstrādes un  ekspertīzes kvalitāti. Tieši pretēji – ņemot vērā, ka gan dzelzceļa būvprojektu izstrāde, gan ekspertīžu veikšana prasa sevišķas zināšanas par dzelzceļu, līdz ar to nav nepieciešams mainīt esošo kārtību, ka būvprojektus, kur būves galvenais lietošanas veids ir dzelzceļš, izstrādā un šo būvprojektu ekspertīzi veic attiecīgi speciālisti, kas sertificēti  dzelzceļa sliežu ceļu projektēšanā vai dzelzceļa sliežu ceļu būvprojektu ekspertīzē.</w:t>
            </w:r>
            <w:r>
              <w:br/>
              <w:t>Jānorāda, ka dzelzceļa infrastruktūras objekti ir kompleksas būves, kuru būvprojektos jāietver sistēmiski risinājumi un jāskatās kopsakarībā ar standartu LVS 282:2021 "Dzelzceļa būvju tuvinājuma un ritošā sastāva gabarīti". Šis standarts ietekmē peronu, pārmiju risinājumus, tostarp arī drošības risinājumus dzelzceļa nodalījumā joslā. Dzelzceļa būvprojekta risinājumu savstarpējo mijiedarbību precīzi var izvērtēt tikai dzelzceļa sliežu ceļu projektētājs un dzelzceļa sliežu ceļu būvprojektu eksperts.</w:t>
            </w:r>
            <w:r>
              <w:br/>
              <w:t xml:space="preserve">Kā jau iepriekš minēts, dzelzceļa sliežu ceļu būvprojektu izstrādei un to ekspertīzei nepieciešamas specifiskas zināšanas, jo sliežu ceļš nav tikai divas </w:t>
            </w:r>
            <w:r>
              <w:lastRenderedPageBreak/>
              <w:t xml:space="preserve">paralēli novietotas metāla sijas. Būvprojekts ietver arī dzelzceļa signalizācijas, elektrifikācijas ar zemējumu, ūdens </w:t>
            </w:r>
            <w:proofErr w:type="spellStart"/>
            <w:r>
              <w:t>atvades</w:t>
            </w:r>
            <w:proofErr w:type="spellEnd"/>
            <w:r>
              <w:t>, kontakttīklu balstu un citus sliežu ceļu specifiskos risinājumus, kas ietekmē dzelzceļa kā sistēmas lietošanu.</w:t>
            </w:r>
            <w:r>
              <w:br/>
            </w:r>
            <w:r>
              <w:br/>
              <w:t>Dzelzceļa  būvprojektēšanas un būvprojektu ekspertīzes jomā esošais kompetentu speciālistu trūkums faktiski ir galvenais iemesls tam, ka nesokas ar dzelzceļa infrastruktūras projektu īstenošanu.</w:t>
            </w:r>
            <w:r>
              <w:br/>
            </w:r>
            <w:r>
              <w:br/>
              <w:t>Ievērojot noteikumu projektā minēto, nav saprotams, kāpēc normatīvā akta autori nav sekojuši savai loģikai līdz galam – proti, kāpēc dzelzceļa sliežu projektētājam un dzelzceļa sliežu būvprojektu ekspertam attiecīgi nav paredzētas tiesības attiecīgi izstrādāt ceļu būvprojektus un veikt ekspertīzi ceļu būvprojektiem, jo šajos būvprojektos nereti ir gājēju tuneļi, prettrokšņu žogi, krustojumi utt.</w:t>
            </w:r>
            <w:r>
              <w:br/>
              <w:t>Jānorāda, ka visa normatīvo aktu sistēma veidota tā, ka katram būves veidam ir savas regulējums (Dzelzceļa būvnoteikumi, Autoceļu un ielu būvnoteikumi) un būvju klasifikatorā tie ir iedalīti atsevišķi, piemēram:</w:t>
            </w:r>
            <w:r>
              <w:br/>
            </w:r>
            <w:r>
              <w:br/>
              <w:t>Autoceļi 2111</w:t>
            </w:r>
            <w:r>
              <w:br/>
              <w:t>Dzelzceļi 2121</w:t>
            </w:r>
            <w:r>
              <w:br/>
              <w:t>Tilti un estakādes 2141</w:t>
            </w:r>
            <w:r>
              <w:br/>
              <w:t>Tuneļi un pazems ceļi 2142.</w:t>
            </w:r>
            <w:r>
              <w:br/>
            </w:r>
            <w:r>
              <w:lastRenderedPageBreak/>
              <w:br/>
              <w:t>Ekonomikas ministrija savulaik ir atzinusi, ka gājēju tuneļu būvprojektiem ekspertīzi ir tiesīgi veikt tikai tiltu būvprojektu eksperti. Vai tiešām ceļu būvprojektu ekspertu kompetence ir pietiekami šādu būvju ekspertīzes veikšanai? Kas novērtēs un atzīs, ka kompetence ir pietiekama? </w:t>
            </w:r>
            <w:r>
              <w:br/>
            </w:r>
            <w:r>
              <w:br/>
              <w:t>Kopumā jāatzīst, ka nav saprotams, kāds būs ieguvums no šiem grozījumiem. Ja mērķis ir vairāk būvspeciālisti dzelzceļa jomā, tad kāds labums no skaita, ja  šo speciālistu kompetence nav atbilstoša.</w:t>
            </w:r>
            <w:r>
              <w:br/>
            </w:r>
            <w:r>
              <w:br/>
              <w:t>Papildus jānorāda, ka noteikumu projekts nerisina jautājumu par ārvalstu speciālistu latviešu valodas prasmju un kompetences novērtēšanas jautājums. Šobrīd ārvalstu kvalifikācija tiek atzīta, bet viņu uzraudzība nenotiek. </w:t>
            </w:r>
            <w:r>
              <w:br/>
            </w:r>
            <w:r>
              <w:br/>
              <w:t xml:space="preserve">Nav pieņemama situācija, ka ārvalstu speciālista kvalifikāciju un sertifikātu Būvniecības valsts kontroles birojs pielīdzina un piešķir, bet nav tiesīgs īstenot šo speciālistu darbības uzraudzību. To, atbilstoši spēkā esošajam tiesiskajam regulējumam, var veikt sertifikāta </w:t>
            </w:r>
            <w:proofErr w:type="spellStart"/>
            <w:r>
              <w:t>izdevējinstitūcija</w:t>
            </w:r>
            <w:proofErr w:type="spellEnd"/>
            <w:r>
              <w:t xml:space="preserve">, kurai nav nekādas intereses veikt šādas </w:t>
            </w:r>
            <w:proofErr w:type="spellStart"/>
            <w:r>
              <w:t>parbaudes</w:t>
            </w:r>
            <w:proofErr w:type="spellEnd"/>
            <w:r>
              <w:t xml:space="preserve"> citā valstī. Šāda situācija Latvijai nav izdevīga un to ir nepieciešams labot, izdarot attiecīgus grozījumus tiesiskajā regulējumā.</w:t>
            </w:r>
            <w:r>
              <w:br/>
            </w:r>
            <w:r>
              <w:lastRenderedPageBreak/>
              <w:br/>
            </w:r>
            <w:r>
              <w:br/>
            </w:r>
          </w:p>
        </w:tc>
        <w:tc>
          <w:tcPr>
            <w:tcW w:w="1650" w:type="dxa"/>
            <w:shd w:val="clear" w:color="auto" w:fill="FFFFFF"/>
            <w:noWrap/>
            <w:tcMar>
              <w:top w:w="75" w:type="dxa"/>
              <w:left w:w="75" w:type="dxa"/>
              <w:bottom w:w="75" w:type="dxa"/>
              <w:right w:w="75" w:type="dxa"/>
            </w:tcMar>
            <w:vAlign w:val="center"/>
          </w:tcPr>
          <w:p w14:paraId="1C84244B" w14:textId="4C12250A" w:rsidR="0003249B" w:rsidRDefault="006D2041">
            <w:pPr>
              <w:jc w:val="left"/>
            </w:pPr>
            <w:r>
              <w:lastRenderedPageBreak/>
              <w:t>Nav ņemts vērā</w:t>
            </w:r>
          </w:p>
        </w:tc>
        <w:tc>
          <w:tcPr>
            <w:tcW w:w="4056" w:type="dxa"/>
            <w:shd w:val="clear" w:color="auto" w:fill="FFFFFF"/>
            <w:noWrap/>
            <w:tcMar>
              <w:top w:w="75" w:type="dxa"/>
              <w:left w:w="75" w:type="dxa"/>
              <w:bottom w:w="75" w:type="dxa"/>
              <w:right w:w="75" w:type="dxa"/>
            </w:tcMar>
            <w:vAlign w:val="center"/>
          </w:tcPr>
          <w:p w14:paraId="15708ECE" w14:textId="77777777" w:rsidR="0003249B" w:rsidRDefault="006D2041">
            <w:pPr>
              <w:jc w:val="left"/>
            </w:pPr>
            <w:r>
              <w:t xml:space="preserve">Minētajā piezīmē netiek paredzētas izmaiņas noteikumu projektā. Norādām, ka šī piezīme tika pieņemta ar Ministru kabineta 2023.gada 19.decembra </w:t>
            </w:r>
            <w:r>
              <w:lastRenderedPageBreak/>
              <w:t>noteikumiem Nr.800 “</w:t>
            </w:r>
            <w:r w:rsidRPr="006D2041">
              <w:t>Grozījumi Ministru kabineta 2018. gada 20. marta noteikumos Nr. 169 "Būvspeciālistu kompetences novērtēšanas un patstāvīgās prakses uzraudzības noteikumi"</w:t>
            </w:r>
            <w:r>
              <w:t>”.</w:t>
            </w:r>
          </w:p>
          <w:p w14:paraId="14710373" w14:textId="08EE8874" w:rsidR="006D2041" w:rsidRDefault="006D2041">
            <w:pPr>
              <w:jc w:val="left"/>
            </w:pPr>
            <w:r>
              <w:t xml:space="preserve">Ņemot vērā ka šī piezīme noteikumu projektā netiek skatīta, iebildums netiek ņemts vērā. Vienlaikus norādām, ka kopīgās kompetences definēšana starp vairākām darba sfērām </w:t>
            </w:r>
            <w:r w:rsidR="008662FF">
              <w:t xml:space="preserve">ir iespējama attiecīgo darbības sfēru būvspeciālistiem un sertificēšanas iestādēm vienojoties un iesniedzot priekšlikumus norādot kādas tieši būves vai būvdarbi ir kopīgi starp vairākām darbības sfērām. Ņemot vērā, ka šobrīd tāda diskusija nav bijusi un nav panākta savstarpēja vienošanās, tad priekšlikumi par atsevišķu darbības sfēru kompetences papildināšanu arī netiek ņemti vērā. </w:t>
            </w:r>
          </w:p>
        </w:tc>
      </w:tr>
      <w:tr w:rsidR="00E91541" w14:paraId="24F9BF15" w14:textId="77777777" w:rsidTr="00E91541">
        <w:tc>
          <w:tcPr>
            <w:tcW w:w="750" w:type="dxa"/>
            <w:shd w:val="clear" w:color="auto" w:fill="FFFFFF"/>
            <w:noWrap/>
            <w:tcMar>
              <w:top w:w="75" w:type="dxa"/>
              <w:left w:w="75" w:type="dxa"/>
              <w:bottom w:w="75" w:type="dxa"/>
              <w:right w:w="75" w:type="dxa"/>
            </w:tcMar>
            <w:vAlign w:val="center"/>
          </w:tcPr>
          <w:p w14:paraId="5844B329" w14:textId="2EA8E472" w:rsidR="00E91541" w:rsidRDefault="00E91541">
            <w:pPr>
              <w:jc w:val="center"/>
            </w:pPr>
            <w:r>
              <w:lastRenderedPageBreak/>
              <w:t>3.</w:t>
            </w:r>
          </w:p>
        </w:tc>
        <w:tc>
          <w:tcPr>
            <w:tcW w:w="1654" w:type="dxa"/>
            <w:shd w:val="clear" w:color="auto" w:fill="FFFFFF"/>
            <w:noWrap/>
            <w:tcMar>
              <w:top w:w="75" w:type="dxa"/>
              <w:left w:w="75" w:type="dxa"/>
              <w:bottom w:w="75" w:type="dxa"/>
              <w:right w:w="75" w:type="dxa"/>
            </w:tcMar>
            <w:vAlign w:val="center"/>
          </w:tcPr>
          <w:p w14:paraId="5E9A2188" w14:textId="2A12E7EA" w:rsidR="00E91541" w:rsidRDefault="00E91541">
            <w:pPr>
              <w:jc w:val="left"/>
            </w:pPr>
            <w:r w:rsidRPr="00590967">
              <w:rPr>
                <w:rFonts w:asciiTheme="minorHAnsi" w:hAnsiTheme="minorHAnsi" w:cstheme="minorHAnsi"/>
              </w:rPr>
              <w:t>SIA “CHR Design Solutions”</w:t>
            </w:r>
          </w:p>
        </w:tc>
        <w:tc>
          <w:tcPr>
            <w:tcW w:w="6457" w:type="dxa"/>
            <w:shd w:val="clear" w:color="auto" w:fill="FFFFFF"/>
            <w:noWrap/>
            <w:tcMar>
              <w:top w:w="75" w:type="dxa"/>
              <w:left w:w="75" w:type="dxa"/>
              <w:bottom w:w="75" w:type="dxa"/>
              <w:right w:w="75" w:type="dxa"/>
            </w:tcMar>
            <w:vAlign w:val="center"/>
          </w:tcPr>
          <w:p w14:paraId="2D6DBB83" w14:textId="77777777" w:rsidR="00E91541" w:rsidRPr="00590967" w:rsidRDefault="00E91541" w:rsidP="00E91541">
            <w:pPr>
              <w:spacing w:line="276" w:lineRule="auto"/>
              <w:rPr>
                <w:rFonts w:asciiTheme="minorHAnsi" w:hAnsiTheme="minorHAnsi" w:cstheme="minorHAnsi"/>
                <w:b/>
                <w:bCs/>
                <w:i/>
                <w:iCs/>
              </w:rPr>
            </w:pPr>
            <w:r w:rsidRPr="00590967">
              <w:rPr>
                <w:rFonts w:asciiTheme="minorHAnsi" w:hAnsiTheme="minorHAnsi" w:cstheme="minorHAnsi"/>
                <w:b/>
                <w:bCs/>
                <w:i/>
                <w:iCs/>
              </w:rPr>
              <w:t>Par noteikumu projektu (projekta ID 24-TA-1365)</w:t>
            </w:r>
          </w:p>
          <w:p w14:paraId="65BF64F5" w14:textId="77777777" w:rsidR="00E91541" w:rsidRPr="00590967" w:rsidRDefault="00E91541" w:rsidP="00E91541">
            <w:pPr>
              <w:tabs>
                <w:tab w:val="left" w:pos="709"/>
              </w:tabs>
              <w:rPr>
                <w:rFonts w:asciiTheme="minorHAnsi" w:hAnsiTheme="minorHAnsi" w:cstheme="minorHAnsi"/>
              </w:rPr>
            </w:pPr>
          </w:p>
          <w:p w14:paraId="7A90F912" w14:textId="77777777" w:rsidR="00E91541" w:rsidRPr="00590967" w:rsidRDefault="00E91541" w:rsidP="00E91541">
            <w:pPr>
              <w:pStyle w:val="NoSpacing"/>
              <w:jc w:val="both"/>
              <w:rPr>
                <w:rFonts w:asciiTheme="minorHAnsi" w:hAnsiTheme="minorHAnsi" w:cstheme="minorHAnsi"/>
                <w:color w:val="000000"/>
                <w:lang w:val="lv-LV"/>
              </w:rPr>
            </w:pPr>
            <w:r w:rsidRPr="00590967">
              <w:rPr>
                <w:rFonts w:asciiTheme="minorHAnsi" w:hAnsiTheme="minorHAnsi" w:cstheme="minorHAnsi"/>
                <w:color w:val="000000"/>
                <w:lang w:val="lv-LV"/>
              </w:rPr>
              <w:tab/>
            </w:r>
            <w:r w:rsidRPr="00590967">
              <w:rPr>
                <w:rFonts w:asciiTheme="minorHAnsi" w:hAnsiTheme="minorHAnsi" w:cstheme="minorHAnsi"/>
                <w:lang w:val="lv-LV"/>
              </w:rPr>
              <w:t>Ekonomikas ministrija ir izstrādājusi Ministru kabineta noteikumu projektu “</w:t>
            </w:r>
            <w:r w:rsidRPr="00590967">
              <w:rPr>
                <w:rFonts w:asciiTheme="minorHAnsi" w:hAnsiTheme="minorHAnsi" w:cstheme="minorHAnsi"/>
                <w:shd w:val="clear" w:color="auto" w:fill="FFFFFF"/>
                <w:lang w:val="lv-LV"/>
              </w:rPr>
              <w:t>Grozījumi Ministru kabineta 2018.gada 20.marta noteikumos Nr.169 “Būvspeciālistu kompetences novērtēšanas un patstāvīgās prakses uzraudzības noteikumi”</w:t>
            </w:r>
            <w:r w:rsidRPr="00590967">
              <w:rPr>
                <w:rFonts w:asciiTheme="minorHAnsi" w:hAnsiTheme="minorHAnsi" w:cstheme="minorHAnsi"/>
                <w:lang w:val="lv-LV"/>
              </w:rPr>
              <w:t>” (turpmāk – Noteikumu projekts)</w:t>
            </w:r>
            <w:r w:rsidRPr="00590967">
              <w:rPr>
                <w:rFonts w:asciiTheme="minorHAnsi" w:hAnsiTheme="minorHAnsi" w:cstheme="minorHAnsi"/>
                <w:color w:val="000000"/>
                <w:lang w:val="lv-LV"/>
              </w:rPr>
              <w:t xml:space="preserve">. </w:t>
            </w:r>
          </w:p>
          <w:p w14:paraId="26B02139" w14:textId="77777777" w:rsidR="00E91541" w:rsidRPr="00590967" w:rsidRDefault="00E91541" w:rsidP="00E91541">
            <w:pPr>
              <w:rPr>
                <w:rFonts w:asciiTheme="minorHAnsi" w:hAnsiTheme="minorHAnsi" w:cstheme="minorHAnsi"/>
              </w:rPr>
            </w:pPr>
            <w:r w:rsidRPr="00590967">
              <w:rPr>
                <w:rFonts w:asciiTheme="minorHAnsi" w:hAnsiTheme="minorHAnsi" w:cstheme="minorHAnsi"/>
                <w:color w:val="000000"/>
              </w:rPr>
              <w:tab/>
            </w:r>
            <w:r w:rsidRPr="00590967">
              <w:rPr>
                <w:rFonts w:asciiTheme="minorHAnsi" w:hAnsiTheme="minorHAnsi" w:cstheme="minorHAnsi"/>
              </w:rPr>
              <w:t>Lai arī Noteikumu projekta sabiedriskās apspriešanas termiņš ir beidzies 2024.</w:t>
            </w:r>
            <w:r>
              <w:rPr>
                <w:rFonts w:asciiTheme="minorHAnsi" w:hAnsiTheme="minorHAnsi" w:cstheme="minorHAnsi"/>
              </w:rPr>
              <w:t xml:space="preserve"> </w:t>
            </w:r>
            <w:r w:rsidRPr="00590967">
              <w:rPr>
                <w:rFonts w:asciiTheme="minorHAnsi" w:hAnsiTheme="minorHAnsi" w:cstheme="minorHAnsi"/>
              </w:rPr>
              <w:t>gada 9.</w:t>
            </w:r>
            <w:r>
              <w:rPr>
                <w:rFonts w:asciiTheme="minorHAnsi" w:hAnsiTheme="minorHAnsi" w:cstheme="minorHAnsi"/>
              </w:rPr>
              <w:t xml:space="preserve"> </w:t>
            </w:r>
            <w:r w:rsidRPr="00590967">
              <w:rPr>
                <w:rFonts w:asciiTheme="minorHAnsi" w:hAnsiTheme="minorHAnsi" w:cstheme="minorHAnsi"/>
              </w:rPr>
              <w:t xml:space="preserve">decembrī, tomēr SIA „CHR Design Solutions” uzskata par nepieciešamu paust savu viedokli par Noteikumu projektu ar cerību, ka Ekonomikas ministrija tajā ieklausīsies un nepieļaus tik būtiskas kļūdas, kuru ietvaros pastāv iespējamība, ka turpmāk tiks projektētas un būvētas sabiedriskās būves (gājēju un velosipēdu tilti, krastmalas un iekšzemes ūdeņu piestātnes) bez atbilstošas kvalifikācijas un zināšanām par attiecīgo būvju projektēšanas un būvniecības procesu, veicinot iespējamību, ka tiek uzbūvētas attiecīgo kategoriju būvju būvnoteikumiem neatbilstošas un nedrošās būves, tādējādi apdraudot arī sabiedrisko drošību.  </w:t>
            </w:r>
          </w:p>
          <w:p w14:paraId="4DF760F2" w14:textId="77777777" w:rsidR="00E91541" w:rsidRPr="00590967" w:rsidRDefault="00E91541" w:rsidP="00E91541">
            <w:pPr>
              <w:pStyle w:val="NoSpacing"/>
              <w:ind w:firstLine="720"/>
              <w:jc w:val="both"/>
              <w:rPr>
                <w:rFonts w:asciiTheme="minorHAnsi" w:hAnsiTheme="minorHAnsi" w:cstheme="minorHAnsi"/>
                <w:shd w:val="clear" w:color="auto" w:fill="FFFFFF"/>
                <w:lang w:val="lv-LV"/>
              </w:rPr>
            </w:pPr>
            <w:r w:rsidRPr="00590967">
              <w:rPr>
                <w:rFonts w:asciiTheme="minorHAnsi" w:hAnsiTheme="minorHAnsi" w:cstheme="minorHAnsi"/>
                <w:lang w:val="lv-LV"/>
              </w:rPr>
              <w:t xml:space="preserve">Noteikumu projekta anotācijā norādīts, ka </w:t>
            </w:r>
            <w:r w:rsidRPr="00590967">
              <w:rPr>
                <w:rFonts w:asciiTheme="minorHAnsi" w:hAnsiTheme="minorHAnsi" w:cstheme="minorHAnsi"/>
                <w:shd w:val="clear" w:color="auto" w:fill="FFFFFF"/>
                <w:lang w:val="lv-LV"/>
              </w:rPr>
              <w:t xml:space="preserve">Noteikumu projektā ir paredzēta tiltu darbības sfēru būvspeciālistu kompetences paplašināšana ar līdzīgām būvēm no ostu un jūras </w:t>
            </w:r>
            <w:r w:rsidRPr="00590967">
              <w:rPr>
                <w:rFonts w:asciiTheme="minorHAnsi" w:hAnsiTheme="minorHAnsi" w:cstheme="minorHAnsi"/>
                <w:shd w:val="clear" w:color="auto" w:fill="FFFFFF"/>
                <w:lang w:val="lv-LV"/>
              </w:rPr>
              <w:lastRenderedPageBreak/>
              <w:t>hidrotehnisko būvju un hidrotehnisko būvju darbības sfērām – krastmalām ar dažādu veidu krasta nostiprinājumiem un estakādes tipa iekšzemes ūdeņu piestātnēm un ostu un jūras hidrotehnisko būvju jomas būvspeciālistu kompetences paplašināšana ar tiesībām veikt pirmās un otrās grupas gājēju vai velosipēdu, vai apvienoto gājēju un velosipēdu tiltu projektēšanu, būvprojektu un būvju ekspertīzi un izbūves darbu vadīšanu un būvuzraudzību.</w:t>
            </w:r>
          </w:p>
          <w:p w14:paraId="264F0A91" w14:textId="77777777" w:rsidR="00E91541" w:rsidRPr="00590967" w:rsidRDefault="00E91541" w:rsidP="00E91541">
            <w:pPr>
              <w:ind w:firstLine="720"/>
              <w:rPr>
                <w:rFonts w:asciiTheme="minorHAnsi" w:hAnsiTheme="minorHAnsi" w:cstheme="minorHAnsi"/>
                <w:shd w:val="clear" w:color="auto" w:fill="FFFFFF"/>
              </w:rPr>
            </w:pPr>
            <w:r w:rsidRPr="00590967">
              <w:rPr>
                <w:rFonts w:asciiTheme="minorHAnsi" w:hAnsiTheme="minorHAnsi" w:cstheme="minorHAnsi"/>
                <w:shd w:val="clear" w:color="auto" w:fill="FFFFFF"/>
              </w:rPr>
              <w:t>Noteikumu projekta anotācijā šādu grozījumu nepieciešamība tiek pamatota ar to, ka ministrijas ieskatā krastmalu nostiprinājumi un estakādes tipa iekšzemes ūdeņu piestātnes ir tādas konstrukcijas, kas pēc būtības ir līdzīgas kā tiltu konstrukcijām, līdz ar to tiltu jomas būvspeciālistiem ir kompetence arī šādu būvju jomā. Savukārt nelieli tilti ir tādas konstrukcijas, kas pēc būtības ir līdzīgas hidrotehniskajām būvēm (estakādes tipa piestātnēm) līdz ar to ostu un jūras hidrotehnisko būvju jomas būvspeciālistiem ir kompetence arī šādu būvju jomā.</w:t>
            </w:r>
          </w:p>
          <w:p w14:paraId="415530AC" w14:textId="77777777" w:rsidR="00E91541" w:rsidRPr="00590967" w:rsidRDefault="00E91541" w:rsidP="00E91541">
            <w:pPr>
              <w:ind w:firstLine="720"/>
              <w:rPr>
                <w:rFonts w:asciiTheme="minorHAnsi" w:hAnsiTheme="minorHAnsi" w:cstheme="minorHAnsi"/>
              </w:rPr>
            </w:pPr>
            <w:r w:rsidRPr="00590967">
              <w:rPr>
                <w:rFonts w:asciiTheme="minorHAnsi" w:hAnsiTheme="minorHAnsi" w:cstheme="minorHAnsi"/>
              </w:rPr>
              <w:t xml:space="preserve">Ekonomikas ministrijas ieskats par to, ka hidrotehniskās būves (estakādes tipa piestātnes) ir līdzīgas tiltiem, ir kļūdains. Velosipēdu un gājēju tiltu būvniecībā var izmantot visu veidu tiltu konstrukciju būvniecības risinājumus: 1) siju un plātņu tilti; 2) rāmju tilti; 3) loku tilti; 4) kopņu tilti; 5) vanšu un iekārtās konstrukcijas tilti. Pat bez projektēšanas un būvniecības pieredzes un zināšanām nevar būt ne mazāko šaubu, ka </w:t>
            </w:r>
            <w:r w:rsidRPr="00590967">
              <w:rPr>
                <w:rFonts w:asciiTheme="minorHAnsi" w:hAnsiTheme="minorHAnsi" w:cstheme="minorHAnsi"/>
              </w:rPr>
              <w:lastRenderedPageBreak/>
              <w:t xml:space="preserve">iekšējo ūdeņu estakādes tipa piestātnei nav nekādas līdzības ar vanšu konstrukcijas vai iekārtās konstrukcijas tipa tiltu. Tās ir divas pilnīgi atšķirīgu tipu būves, kurām pēc būves konstrukcijas nav nekādas līdzības, nav nekādas līdzības šo būvju projektēšanā veicamo aprēķinu metodikā, tāpat kā šo būvju būvēšanas procesā pielietotajām metodēm nav nekādas līdzības. </w:t>
            </w:r>
          </w:p>
          <w:p w14:paraId="7C3901B6" w14:textId="77777777" w:rsidR="00E91541" w:rsidRPr="00590967" w:rsidRDefault="00E91541" w:rsidP="00E91541">
            <w:pPr>
              <w:ind w:firstLine="720"/>
              <w:rPr>
                <w:rFonts w:asciiTheme="minorHAnsi" w:hAnsiTheme="minorHAnsi" w:cstheme="minorHAnsi"/>
              </w:rPr>
            </w:pPr>
            <w:r w:rsidRPr="00590967">
              <w:rPr>
                <w:rFonts w:asciiTheme="minorHAnsi" w:hAnsiTheme="minorHAnsi" w:cstheme="minorHAnsi"/>
              </w:rPr>
              <w:t xml:space="preserve">Tiltu projektēšanā un būvniecībā ir būtiska tiltu slodžu un to radīto piepūļu noteikšana, piepūļu noteikšana statiski noteicamā siju vai rāmju sistēmā, piepūļu sadalījums statiski nenoteicamā sistēmā utt., kas būtiski atšķiras no hidrotehniskās būves </w:t>
            </w:r>
            <w:r w:rsidRPr="00590967">
              <w:rPr>
                <w:rFonts w:asciiTheme="minorHAnsi" w:hAnsiTheme="minorHAnsi" w:cstheme="minorHAnsi"/>
                <w:shd w:val="clear" w:color="auto" w:fill="FFFFFF"/>
              </w:rPr>
              <w:t xml:space="preserve">(estakādes tipa piestātne) </w:t>
            </w:r>
            <w:r w:rsidRPr="00590967">
              <w:rPr>
                <w:rFonts w:asciiTheme="minorHAnsi" w:hAnsiTheme="minorHAnsi" w:cstheme="minorHAnsi"/>
              </w:rPr>
              <w:t>projektēšanas un būvniecības ietvaros veicamajiem uzdevumiem.</w:t>
            </w:r>
          </w:p>
          <w:p w14:paraId="32038B0B" w14:textId="77777777" w:rsidR="00E91541" w:rsidRPr="00590967" w:rsidRDefault="00E91541" w:rsidP="00E91541">
            <w:pPr>
              <w:ind w:firstLine="720"/>
              <w:rPr>
                <w:rFonts w:asciiTheme="minorHAnsi" w:hAnsiTheme="minorHAnsi" w:cstheme="minorHAnsi"/>
              </w:rPr>
            </w:pPr>
            <w:r w:rsidRPr="00590967">
              <w:rPr>
                <w:rFonts w:asciiTheme="minorHAnsi" w:hAnsiTheme="minorHAnsi" w:cstheme="minorHAnsi"/>
              </w:rPr>
              <w:t>SIA “CHR Design Solutions” ir Būvkomersantu reģistrā iekļauts uzņēmums, kurš nodarbojas gan ar Tiltu projektēšanu, gan arī ar Ostu un jūras hidrotehnisko būvju projektēšanu, tādēļ uzņēmuma darbības jomu šie grozījumi nepaplašinās un neierobežos, tomēr ar pieredzi abu veidu būvju projektēšanā vēlamies vērst normatīvo aktu izstrādātāju uzmanību, ka ir nepieļaujami hidrotehnisko būvju projektētājiem ļaut projektēt tiltus (tajā skaitā vanšu tiltus), kuru projektēšanā šīm personām nav ne teorētisko</w:t>
            </w:r>
            <w:r>
              <w:rPr>
                <w:rFonts w:asciiTheme="minorHAnsi" w:hAnsiTheme="minorHAnsi" w:cstheme="minorHAnsi"/>
              </w:rPr>
              <w:t>,</w:t>
            </w:r>
            <w:r w:rsidRPr="00590967">
              <w:rPr>
                <w:rFonts w:asciiTheme="minorHAnsi" w:hAnsiTheme="minorHAnsi" w:cstheme="minorHAnsi"/>
              </w:rPr>
              <w:t xml:space="preserve"> ne praktisko zināšanu. Šādu tiltu projektēšanu un būvniecību pieļaut speciālistiem bez </w:t>
            </w:r>
            <w:r w:rsidRPr="00590967">
              <w:rPr>
                <w:rFonts w:asciiTheme="minorHAnsi" w:hAnsiTheme="minorHAnsi" w:cstheme="minorHAnsi"/>
              </w:rPr>
              <w:lastRenderedPageBreak/>
              <w:t>zināšanām un pieredzes tikai tādēļ, ka tas ir gājēju un velosipēdu tilts arī nav pamatoti. Jo tāpat kā pārvietojoties ar transportlīdzekli to vadītājiem un pasažieriem ir tiesības paļauties uz to, ka tilts ir drošs, arī gājējiem un velosipēdistiem ir tiesības pārvietoties pa drošu tiltu, kurš projektēts un izbūvēts no tādu speciālistu puses, kuriem ir atbilstoša kompetence un pieredze.</w:t>
            </w:r>
          </w:p>
          <w:p w14:paraId="4CF9FC70" w14:textId="77777777" w:rsidR="00E91541" w:rsidRPr="00590967" w:rsidRDefault="00E91541" w:rsidP="00E91541">
            <w:pPr>
              <w:ind w:firstLine="720"/>
              <w:rPr>
                <w:rFonts w:asciiTheme="minorHAnsi" w:hAnsiTheme="minorHAnsi" w:cstheme="minorHAnsi"/>
              </w:rPr>
            </w:pPr>
            <w:r w:rsidRPr="00590967">
              <w:rPr>
                <w:rFonts w:asciiTheme="minorHAnsi" w:hAnsiTheme="minorHAnsi" w:cstheme="minorHAnsi"/>
              </w:rPr>
              <w:t>Līdzīgi secinājumi ir izdarāmi par tiltu projektētāju un tiltu būvnieku nepietiekamu pieredzi un zināšanām hidrotehnisko būvju projektēšanā un būvniecībā.</w:t>
            </w:r>
          </w:p>
          <w:p w14:paraId="2D562D8E" w14:textId="77777777" w:rsidR="00E91541" w:rsidRDefault="00E91541" w:rsidP="00E91541">
            <w:pPr>
              <w:ind w:firstLine="720"/>
              <w:rPr>
                <w:rFonts w:asciiTheme="minorHAnsi" w:hAnsiTheme="minorHAnsi" w:cstheme="minorHAnsi"/>
              </w:rPr>
            </w:pPr>
            <w:r w:rsidRPr="00590967">
              <w:rPr>
                <w:rFonts w:asciiTheme="minorHAnsi" w:hAnsiTheme="minorHAnsi" w:cstheme="minorHAnsi"/>
              </w:rPr>
              <w:t>Ne velti būvju klasifikatorā attiecīgo būvju veidi ir iedalīti divās atsevišķās kategorijās (214 - Tilti, estakādes, tuneļi un pazemes ceļi; 215 – Ostas, ūdensceļi, dambji un citas hidrobūves). Tas tā ir tieši tādēļ, ka atšķirīgu būvju projektēšanai un būvniecībai ir nepieciešamas atšķirīgas zināšanas un pieredze. Šo kompetenču sajaukšana un sapludināšana bez objektīva pamatojuma (un tāds viennozīmīgi nav atrodams konkrētajā gadījumā) novedīs pie nedrošām sabiedriskajām būvēm, sabiedrības apdraudējuma un iespējamām traģēdijām, kuras nav pieļaujamas.</w:t>
            </w:r>
          </w:p>
          <w:p w14:paraId="5E1E6465" w14:textId="77777777" w:rsidR="00E91541" w:rsidRDefault="00E91541" w:rsidP="00E91541">
            <w:pPr>
              <w:spacing w:line="276" w:lineRule="auto"/>
              <w:ind w:firstLine="720"/>
              <w:rPr>
                <w:rFonts w:asciiTheme="minorHAnsi" w:hAnsiTheme="minorHAnsi" w:cstheme="minorHAnsi"/>
              </w:rPr>
            </w:pPr>
          </w:p>
          <w:p w14:paraId="4EFE5F4A" w14:textId="77777777" w:rsidR="00E91541" w:rsidRPr="00590967" w:rsidRDefault="00E91541" w:rsidP="00E91541">
            <w:pPr>
              <w:spacing w:line="276" w:lineRule="auto"/>
              <w:ind w:firstLine="720"/>
              <w:rPr>
                <w:rFonts w:asciiTheme="minorHAnsi" w:hAnsiTheme="minorHAnsi" w:cstheme="minorHAnsi"/>
              </w:rPr>
            </w:pPr>
            <w:r w:rsidRPr="00590967">
              <w:rPr>
                <w:rFonts w:asciiTheme="minorHAnsi" w:hAnsiTheme="minorHAnsi" w:cstheme="minorHAnsi"/>
              </w:rPr>
              <w:t>Ņemot vērā visu iepriekš minēto, SIA “CHR Design Solutions”</w:t>
            </w:r>
          </w:p>
          <w:p w14:paraId="0F9A899B" w14:textId="77777777" w:rsidR="00E91541" w:rsidRDefault="00E91541" w:rsidP="00E91541">
            <w:pPr>
              <w:spacing w:line="276" w:lineRule="auto"/>
              <w:jc w:val="center"/>
              <w:rPr>
                <w:rFonts w:asciiTheme="minorHAnsi" w:hAnsiTheme="minorHAnsi" w:cstheme="minorHAnsi"/>
                <w:b/>
                <w:bCs/>
              </w:rPr>
            </w:pPr>
            <w:r w:rsidRPr="00590967">
              <w:rPr>
                <w:rFonts w:asciiTheme="minorHAnsi" w:hAnsiTheme="minorHAnsi" w:cstheme="minorHAnsi"/>
                <w:b/>
                <w:bCs/>
              </w:rPr>
              <w:lastRenderedPageBreak/>
              <w:t>lūdz Ekonomikas ministriju:</w:t>
            </w:r>
          </w:p>
          <w:p w14:paraId="369DAC1E" w14:textId="77777777" w:rsidR="00E91541" w:rsidRPr="00DB5227" w:rsidRDefault="00E91541" w:rsidP="00E91541">
            <w:pPr>
              <w:spacing w:line="276" w:lineRule="auto"/>
              <w:jc w:val="center"/>
              <w:rPr>
                <w:rFonts w:asciiTheme="minorHAnsi" w:hAnsiTheme="minorHAnsi" w:cstheme="minorHAnsi"/>
                <w:b/>
                <w:bCs/>
              </w:rPr>
            </w:pPr>
          </w:p>
          <w:p w14:paraId="59E0C633" w14:textId="77777777" w:rsidR="00E91541" w:rsidRDefault="00E91541" w:rsidP="00E91541">
            <w:pPr>
              <w:pStyle w:val="ListParagraph"/>
              <w:numPr>
                <w:ilvl w:val="0"/>
                <w:numId w:val="1"/>
              </w:numPr>
              <w:tabs>
                <w:tab w:val="left" w:pos="284"/>
              </w:tabs>
              <w:suppressAutoHyphens w:val="0"/>
              <w:spacing w:line="276" w:lineRule="auto"/>
              <w:ind w:left="0" w:firstLine="0"/>
              <w:jc w:val="both"/>
              <w:rPr>
                <w:rFonts w:asciiTheme="minorHAnsi" w:hAnsiTheme="minorHAnsi" w:cstheme="minorHAnsi"/>
              </w:rPr>
            </w:pPr>
            <w:r w:rsidRPr="00590967">
              <w:rPr>
                <w:rFonts w:asciiTheme="minorHAnsi" w:hAnsiTheme="minorHAnsi" w:cstheme="minorHAnsi"/>
              </w:rPr>
              <w:t>izvērtēt un ņemt vērā šajā vēstulē izklāstītos argumentus;</w:t>
            </w:r>
          </w:p>
          <w:p w14:paraId="1F20816C" w14:textId="77777777" w:rsidR="00E91541" w:rsidRPr="00DB5227" w:rsidRDefault="00E91541" w:rsidP="00E91541">
            <w:pPr>
              <w:pStyle w:val="ListParagraph"/>
              <w:tabs>
                <w:tab w:val="left" w:pos="284"/>
              </w:tabs>
              <w:suppressAutoHyphens w:val="0"/>
              <w:spacing w:line="276" w:lineRule="auto"/>
              <w:ind w:left="0"/>
              <w:jc w:val="both"/>
              <w:rPr>
                <w:rFonts w:asciiTheme="minorHAnsi" w:hAnsiTheme="minorHAnsi" w:cstheme="minorHAnsi"/>
              </w:rPr>
            </w:pPr>
          </w:p>
          <w:p w14:paraId="3D11DF7B" w14:textId="77777777" w:rsidR="00E91541" w:rsidRPr="008824BF" w:rsidRDefault="00E91541" w:rsidP="00E91541">
            <w:pPr>
              <w:pStyle w:val="ListParagraph"/>
              <w:numPr>
                <w:ilvl w:val="0"/>
                <w:numId w:val="1"/>
              </w:numPr>
              <w:tabs>
                <w:tab w:val="left" w:pos="284"/>
              </w:tabs>
              <w:suppressAutoHyphens w:val="0"/>
              <w:spacing w:line="276" w:lineRule="auto"/>
              <w:ind w:left="0" w:firstLine="0"/>
              <w:jc w:val="both"/>
              <w:rPr>
                <w:rFonts w:asciiTheme="minorHAnsi" w:hAnsiTheme="minorHAnsi" w:cstheme="minorHAnsi"/>
              </w:rPr>
            </w:pPr>
            <w:r w:rsidRPr="00590967">
              <w:rPr>
                <w:rFonts w:asciiTheme="minorHAnsi" w:hAnsiTheme="minorHAnsi" w:cstheme="minorHAnsi"/>
              </w:rPr>
              <w:t>nevirzīt apstiprināšanai Ministru kabinetā Ministru kabineta noteikumu projektu “</w:t>
            </w:r>
            <w:r w:rsidRPr="00590967">
              <w:rPr>
                <w:rFonts w:asciiTheme="minorHAnsi" w:hAnsiTheme="minorHAnsi" w:cstheme="minorHAnsi"/>
                <w:shd w:val="clear" w:color="auto" w:fill="FFFFFF"/>
              </w:rPr>
              <w:t>Grozījumi Ministru kabineta 2018.gada 20.marta noteikumos Nr.169 “Būvspeciālistu kompetences novērtēšanas un patstāvīgās prakses uzraudzības noteikumi”” daļā, kas attiecas uz tiltu darbības sfēru būvspeciālistu kompetences paplašināšanā un ostu un jūras hidrotehnisko būvju jomas būvspeciālistu kompetences paplašināšanā (izslēgt no Ministru kabineta noteikumu projekta 20.piezīmi un 22.piezīmi).</w:t>
            </w:r>
          </w:p>
          <w:p w14:paraId="5A053EFD" w14:textId="77777777" w:rsidR="00E91541" w:rsidRDefault="00E91541">
            <w:pPr>
              <w:jc w:val="left"/>
            </w:pPr>
          </w:p>
        </w:tc>
        <w:tc>
          <w:tcPr>
            <w:tcW w:w="1650" w:type="dxa"/>
            <w:shd w:val="clear" w:color="auto" w:fill="FFFFFF"/>
            <w:noWrap/>
            <w:tcMar>
              <w:top w:w="75" w:type="dxa"/>
              <w:left w:w="75" w:type="dxa"/>
              <w:bottom w:w="75" w:type="dxa"/>
              <w:right w:w="75" w:type="dxa"/>
            </w:tcMar>
            <w:vAlign w:val="center"/>
          </w:tcPr>
          <w:p w14:paraId="164E4EEC" w14:textId="2E2784BE" w:rsidR="00E91541" w:rsidRDefault="006F7AC3">
            <w:pPr>
              <w:jc w:val="left"/>
            </w:pPr>
            <w:r>
              <w:lastRenderedPageBreak/>
              <w:t>Daļēji</w:t>
            </w:r>
            <w:r w:rsidR="00E91541">
              <w:t xml:space="preserve"> ņemts vērā</w:t>
            </w:r>
          </w:p>
        </w:tc>
        <w:tc>
          <w:tcPr>
            <w:tcW w:w="4056" w:type="dxa"/>
            <w:shd w:val="clear" w:color="auto" w:fill="FFFFFF"/>
            <w:noWrap/>
            <w:tcMar>
              <w:top w:w="75" w:type="dxa"/>
              <w:left w:w="75" w:type="dxa"/>
              <w:bottom w:w="75" w:type="dxa"/>
              <w:right w:w="75" w:type="dxa"/>
            </w:tcMar>
            <w:vAlign w:val="center"/>
          </w:tcPr>
          <w:p w14:paraId="049FF467" w14:textId="05A01221" w:rsidR="006F7AC3" w:rsidRDefault="006F7AC3" w:rsidP="000D0833">
            <w:bookmarkStart w:id="0" w:name="_Hlk188622871"/>
            <w:r>
              <w:t xml:space="preserve">Noteikumu projekts ir precizēts un tajā vairs nav paredzēta ostu un jūras hidrotehnisko būvju būvspeciālistu darbības sfēras paplašināšana </w:t>
            </w:r>
            <w:r>
              <w:t>ar pirmās un otrās grupas gājēju un velosipēdu tiltiem</w:t>
            </w:r>
            <w:r>
              <w:t xml:space="preserve">. Pēc atkārtotas diskusijas par šo jautājumu ar biedrības “Latvijas būvinženieru savienība” ekspertiem esam konstatējuši, ka šāda kompetences paplašināšana nav nepieciešama, jo būvniecības nozarē nav iztrūkums pēc būvspeciālistiem, kas var veikt </w:t>
            </w:r>
            <w:r>
              <w:t>pirmās un otrās grupas gājēju un velosipēdu tilt</w:t>
            </w:r>
            <w:r>
              <w:t>u projektēšanu, būvdarbu vadīšanu un būvuzraudzību kā arī būvprojektu un būvju ekspertīzi.</w:t>
            </w:r>
          </w:p>
          <w:p w14:paraId="683EF911" w14:textId="77777777" w:rsidR="006F7AC3" w:rsidRDefault="006F7AC3" w:rsidP="000D0833"/>
          <w:p w14:paraId="3311B8DF" w14:textId="10312CD7" w:rsidR="00CC07D5" w:rsidRPr="004C36D1" w:rsidRDefault="00CC07D5" w:rsidP="000D0833">
            <w:r>
              <w:t>Noteikumu projektā tika iekļaut</w:t>
            </w:r>
            <w:r>
              <w:t>i priekšlikumi</w:t>
            </w:r>
            <w:r>
              <w:t>, kas bija saskaņot</w:t>
            </w:r>
            <w:r>
              <w:t>i</w:t>
            </w:r>
            <w:r>
              <w:t xml:space="preserve"> ar biedrības “Latvijas būvinženieru savienība” darba grupu, kurā tika </w:t>
            </w:r>
            <w:r>
              <w:lastRenderedPageBreak/>
              <w:t xml:space="preserve">izskatīts jautājums par kopīgajām kompetencēm tiltu jomas un ostu un jūras hidrotehnisko būvju jomas būvspeciālistiem. </w:t>
            </w:r>
            <w:r w:rsidRPr="004C36D1">
              <w:t xml:space="preserve">Ņemot vērā, ka priekšlikums nāca no </w:t>
            </w:r>
            <w:r>
              <w:t>biedrības “</w:t>
            </w:r>
            <w:r w:rsidRPr="004C36D1">
              <w:t>Latvijas būvinženieru savienība</w:t>
            </w:r>
            <w:r>
              <w:t>”</w:t>
            </w:r>
            <w:r w:rsidRPr="004C36D1">
              <w:t xml:space="preserve"> ekspertu grupas un tika izdiskutēts vairākās sēdēs, kurās piedalījās gan ostu un jūras hidrotehnisko būvju jomas pārstāvji, gan tiltu jomas pārstāvji uzskat</w:t>
            </w:r>
            <w:r>
              <w:t>ā</w:t>
            </w:r>
            <w:r w:rsidRPr="004C36D1">
              <w:t xml:space="preserve">m, ka Jūsu </w:t>
            </w:r>
            <w:r>
              <w:t>atzinumā</w:t>
            </w:r>
            <w:r w:rsidRPr="004C36D1">
              <w:t xml:space="preserve"> norādītie riski</w:t>
            </w:r>
            <w:r>
              <w:t xml:space="preserve"> par tiltu jomas būvspeciālistu kompetences trūkumu attiecībā uz estakādes tipa būvēm nav pamatoti un pilnībā</w:t>
            </w:r>
            <w:r w:rsidRPr="004C36D1">
              <w:t xml:space="preserve"> neatbilst pašreizējai praksei attiecībā uz būvspeciālistu darbības sfērām.</w:t>
            </w:r>
          </w:p>
          <w:p w14:paraId="5857AB61" w14:textId="77777777" w:rsidR="006F7AC3" w:rsidRDefault="006F7AC3" w:rsidP="000D0833"/>
          <w:p w14:paraId="2829777A" w14:textId="7C830BF6" w:rsidR="00E91541" w:rsidRDefault="005B4938" w:rsidP="000D0833">
            <w:r>
              <w:t xml:space="preserve">Skaidrojam, ka būvspeciālisti savās darbības sfērās arī darbojas atbilstoši savai kompetencei, jo darbības sfēras ir definētas plašākas, lai neradītu pārmērīgu slogu un ierobežojumus būvspeciālistu patstāvīgās prakses veikšanai un pasūtītājiem būvspeciālistu piesaistīšanai. </w:t>
            </w:r>
            <w:r>
              <w:lastRenderedPageBreak/>
              <w:t>Piemēram, būvspeciālistiem ar patstāvīgās prakses tiesībām ēku konstrukciju projektēšanā ir tiesības projektēt konstrukcijas gan nelielām dzīvojamām ēkām, gan sarežģītām augstceltnēm, kā arī konstrukcijas projektēt var no dzelzsbetona, tērauda, koka u.c. materiāliem. Līdz ar to katrs būvspeciālists uzņemas tikai savai kompetencei atbilstošus projektus.</w:t>
            </w:r>
          </w:p>
          <w:p w14:paraId="46310775" w14:textId="77777777" w:rsidR="00E91541" w:rsidRDefault="00E91541" w:rsidP="000D0833"/>
          <w:p w14:paraId="7759BCE1" w14:textId="714D173D" w:rsidR="001843E9" w:rsidRDefault="00122172" w:rsidP="000D0833">
            <w:r w:rsidRPr="00122172">
              <w:t>Attiecībā uz tiltu jomas būvspeciālistu kompetences paplašināšanu iekļaujot tajā krastu nostiprinājumus un estakādes tipa piestātnes, norādām, ka nereti tilta konstrukcijas sastāvā ir jāparedz arī krasta nostiprinājum</w:t>
            </w:r>
            <w:r w:rsidR="001843E9">
              <w:t>i līdz ar to nav strīda par to, ka tiltu jomas būvspeciālistiem ir kompetence attiecībā uz krasta nostiprinājumiem.</w:t>
            </w:r>
          </w:p>
          <w:p w14:paraId="21CDDABC" w14:textId="77777777" w:rsidR="001843E9" w:rsidRDefault="001843E9" w:rsidP="000D0833"/>
          <w:p w14:paraId="2A2A3F7F" w14:textId="71FE2599" w:rsidR="001843E9" w:rsidRPr="001843E9" w:rsidRDefault="001843E9" w:rsidP="000D0833">
            <w:r>
              <w:t xml:space="preserve">Attiecībā uz estakādes tipa piestātnēm jānorāda, ka </w:t>
            </w:r>
            <w:r w:rsidR="00122172" w:rsidRPr="00122172">
              <w:t xml:space="preserve"> estakādes pēc būtības ir tiltiem līdzīgas būves (Estakādes definīcija - Tiltam </w:t>
            </w:r>
            <w:r w:rsidR="00122172" w:rsidRPr="00122172">
              <w:lastRenderedPageBreak/>
              <w:t>līdzīga virszemes (</w:t>
            </w:r>
            <w:proofErr w:type="spellStart"/>
            <w:r w:rsidR="00122172" w:rsidRPr="00122172">
              <w:t>virsūdens</w:t>
            </w:r>
            <w:proofErr w:type="spellEnd"/>
            <w:r w:rsidR="00122172" w:rsidRPr="00122172">
              <w:t xml:space="preserve">) būve, kas paredzēta zemes uzbēruma aizstāšanai, satiksmes izkārtošanai dažādos līmeņos, inženiertīklu (piem., siltumtrases) ierīkošanai; arī spēkratu novietošanai augstākā līmenī, lai atvieglotu piekļuvi to apakšējām daļām.). </w:t>
            </w:r>
            <w:r>
              <w:t>Attiecībā uz argumentu, ka tiltu jomas būvspeciālistiem nebūs kompetence ievērtēt kuģu radītās dinamiskās slodzes, norādām, ka t</w:t>
            </w:r>
            <w:r w:rsidRPr="001843E9">
              <w:t>iltiem, tāpat kā piestātnēm un citām hidrobūvēm, ir jāņem vērā dažādas dinamiskās slodzes, tostarp iespējamās sadursmes ar kuģiem, ledus slodzes un ūdens plūsmas radītās slodzes. Šo faktoru dēļ tiltu jomas būvspeciālisti ir kompetenti dažādu dinamisko slodžu aprēķināšanā.</w:t>
            </w:r>
          </w:p>
          <w:p w14:paraId="4755A8BD" w14:textId="227FD2AE" w:rsidR="00B3514C" w:rsidRDefault="001843E9" w:rsidP="000D0833">
            <w:r w:rsidRPr="001843E9">
              <w:t>Būvprojektu izstrāde notiek atbilstoši standartiem</w:t>
            </w:r>
            <w:r>
              <w:t>, vadlīnijām</w:t>
            </w:r>
            <w:r w:rsidRPr="001843E9">
              <w:t xml:space="preserve"> un normatīvajām prasībām, kas nosaka projektēšanas metodoloģiju un slodžu aprēķinu principus. </w:t>
            </w:r>
            <w:r w:rsidR="00B3514C">
              <w:t xml:space="preserve">Visi būvspeciālisti ikdienā strādā </w:t>
            </w:r>
            <w:r w:rsidR="00B3514C">
              <w:lastRenderedPageBreak/>
              <w:t>izmantojot standartus un būvspeciālistiem standarti ir pieejami par ikgadēju abonēšanas maksu 30 eiro apmērā</w:t>
            </w:r>
            <w:r w:rsidR="00AB4B48">
              <w:t xml:space="preserve"> (atbilstoši Ministru kabineta 2018.gada 20.marta noteikumu Nr. 169 “</w:t>
            </w:r>
            <w:r w:rsidR="00AB4B48" w:rsidRPr="00AB4B48">
              <w:t>Būvspeciālistu kompetences novērtēšanas un patstāvīgās prakses uzraudzības noteikumi</w:t>
            </w:r>
            <w:r w:rsidR="00AB4B48">
              <w:t xml:space="preserve">” </w:t>
            </w:r>
            <w:r w:rsidR="00AB4B48" w:rsidRPr="00AB4B48">
              <w:t>65.2.2.</w:t>
            </w:r>
            <w:r w:rsidR="00AB4B48">
              <w:t>apakšpunktu)</w:t>
            </w:r>
            <w:r w:rsidR="00B3514C">
              <w:t>, līdz ar to atsevišķu specifisku lietu tūlītēja nezināšana nevar būt par pamatu uzskatīt, ka tiltu jomas būvspeciālistiem nebūtu kompetence attiecībā uz estakādes tipa piestātnēm, jo specifiskos tehniskos risinājumus ir iespējams izstrādāt izmantojot standartus, vadlīnijas u.c. tehnisko dokum</w:t>
            </w:r>
            <w:r w:rsidR="0019290F">
              <w:t>e</w:t>
            </w:r>
            <w:r w:rsidR="00B3514C">
              <w:t>ntāciju, kuru izmanto arī paši ostu un jūras hidrotehnisko būvju būvspeciālisti.</w:t>
            </w:r>
          </w:p>
          <w:p w14:paraId="75B847B4" w14:textId="77777777" w:rsidR="0019290F" w:rsidRDefault="0019290F" w:rsidP="000D0833"/>
          <w:p w14:paraId="5824AAB6" w14:textId="0D64CF2C" w:rsidR="0019290F" w:rsidRDefault="0019290F" w:rsidP="000D0833">
            <w:r>
              <w:t xml:space="preserve">Papildus norādām, ka šobrīd būvprakses sertifikāts ostu un jūras hidrotehnisko būvju projektēšanā ir 20 būvspeciālistiem, no kuriem 9 ir ēku būvinženiera kvalifikācija, 4 </w:t>
            </w:r>
            <w:r>
              <w:lastRenderedPageBreak/>
              <w:t>ir transportbūvju būvinženiera kvalifikācija un tikai 7 ir ar hidrotehnisko būvju kvalifikāciju un ostu un jūras hidrotehnisko būvju būvdarbu vadīšanā un būvuzraudzībā būvprakses sertifikāts ir 108 būvspeciālistiem no kuriem 51</w:t>
            </w:r>
            <w:r>
              <w:t xml:space="preserve"> ir ēku būvinženiera kvalifikācija, </w:t>
            </w:r>
            <w:r>
              <w:t>15</w:t>
            </w:r>
            <w:r>
              <w:t xml:space="preserve"> ir transportbūvju būvinženiera kvalifikācija un tikai </w:t>
            </w:r>
            <w:r>
              <w:t>28</w:t>
            </w:r>
            <w:r>
              <w:t xml:space="preserve"> ir ar hidrotehnisko būvju kvalifikāciju</w:t>
            </w:r>
            <w:r>
              <w:t xml:space="preserve"> (14 ir ar citu kvalifikāciju). Līdz ar to tiltu jomas būvspeciālisti, kuriem arī iegūtā kvalifikācija ir transportbūvju būvinženieris vai ēku būvinženieris ir ar pietiekošu zināšanu bāzi lai projektētu un būvētu estakādes tipa piestātnes, ko apliecina iegūtā kvalifikācija un esošā prakse, kurā ostu un jūras hidrotehnisko būvju jomu plaši pārstāv arī ēku un transportbūvju būvinženieri. </w:t>
            </w:r>
          </w:p>
          <w:p w14:paraId="2D44BFE8" w14:textId="77777777" w:rsidR="00B3514C" w:rsidRDefault="00B3514C" w:rsidP="000D0833"/>
          <w:p w14:paraId="569B98CA" w14:textId="1F01E00D" w:rsidR="00B3514C" w:rsidRDefault="0019290F" w:rsidP="000D0833">
            <w:r>
              <w:t>Ņemot vērā minēto</w:t>
            </w:r>
            <w:r w:rsidR="005848CA">
              <w:t xml:space="preserve"> uzskatam, ka tiltu jomas būvspeciālisti atbilstoši savai kompetencei var veikt arī </w:t>
            </w:r>
            <w:r w:rsidR="005848CA">
              <w:lastRenderedPageBreak/>
              <w:t>estakādes tipa iekšzemes ūdens piestātņu projektēšanu, būvdarbu vadīšanu un būvuzraudzību kā arī būvprojektu un būvju ekspertīzi.</w:t>
            </w:r>
          </w:p>
          <w:bookmarkEnd w:id="0"/>
          <w:p w14:paraId="5536737F" w14:textId="4C3663DF" w:rsidR="00E91541" w:rsidRDefault="00E91541" w:rsidP="005848CA">
            <w:pPr>
              <w:jc w:val="left"/>
            </w:pPr>
          </w:p>
        </w:tc>
      </w:tr>
      <w:tr w:rsidR="00E91541" w14:paraId="185E4F07" w14:textId="77777777" w:rsidTr="00E91541">
        <w:tc>
          <w:tcPr>
            <w:tcW w:w="750" w:type="dxa"/>
            <w:shd w:val="clear" w:color="auto" w:fill="FFFFFF"/>
            <w:noWrap/>
            <w:tcMar>
              <w:top w:w="75" w:type="dxa"/>
              <w:left w:w="75" w:type="dxa"/>
              <w:bottom w:w="75" w:type="dxa"/>
              <w:right w:w="75" w:type="dxa"/>
            </w:tcMar>
            <w:vAlign w:val="center"/>
          </w:tcPr>
          <w:p w14:paraId="784B164C" w14:textId="5193D1FF" w:rsidR="00E91541" w:rsidRDefault="00E91541">
            <w:pPr>
              <w:jc w:val="center"/>
            </w:pPr>
            <w:r>
              <w:lastRenderedPageBreak/>
              <w:t>4.</w:t>
            </w:r>
          </w:p>
        </w:tc>
        <w:tc>
          <w:tcPr>
            <w:tcW w:w="1654" w:type="dxa"/>
            <w:shd w:val="clear" w:color="auto" w:fill="FFFFFF"/>
            <w:noWrap/>
            <w:tcMar>
              <w:top w:w="75" w:type="dxa"/>
              <w:left w:w="75" w:type="dxa"/>
              <w:bottom w:w="75" w:type="dxa"/>
              <w:right w:w="75" w:type="dxa"/>
            </w:tcMar>
            <w:vAlign w:val="center"/>
          </w:tcPr>
          <w:p w14:paraId="73A35419" w14:textId="5FC79E5D" w:rsidR="00E91541" w:rsidRDefault="00E91541">
            <w:pPr>
              <w:jc w:val="left"/>
            </w:pPr>
            <w:r w:rsidRPr="00590967">
              <w:rPr>
                <w:rFonts w:asciiTheme="minorHAnsi" w:hAnsiTheme="minorHAnsi" w:cstheme="minorHAnsi"/>
              </w:rPr>
              <w:t>SIA “CHR Design Solutions”</w:t>
            </w:r>
          </w:p>
        </w:tc>
        <w:tc>
          <w:tcPr>
            <w:tcW w:w="6457" w:type="dxa"/>
            <w:shd w:val="clear" w:color="auto" w:fill="FFFFFF"/>
            <w:noWrap/>
            <w:tcMar>
              <w:top w:w="75" w:type="dxa"/>
              <w:left w:w="75" w:type="dxa"/>
              <w:bottom w:w="75" w:type="dxa"/>
              <w:right w:w="75" w:type="dxa"/>
            </w:tcMar>
            <w:vAlign w:val="center"/>
          </w:tcPr>
          <w:p w14:paraId="21D384A2" w14:textId="77777777" w:rsidR="00E91541" w:rsidRDefault="00E91541" w:rsidP="00E91541">
            <w:pPr>
              <w:spacing w:line="276" w:lineRule="auto"/>
              <w:rPr>
                <w:rFonts w:asciiTheme="minorHAnsi" w:hAnsiTheme="minorHAnsi" w:cstheme="minorHAnsi"/>
                <w:b/>
                <w:bCs/>
                <w:i/>
                <w:iCs/>
              </w:rPr>
            </w:pPr>
            <w:r w:rsidRPr="00590967">
              <w:rPr>
                <w:rFonts w:asciiTheme="minorHAnsi" w:hAnsiTheme="minorHAnsi" w:cstheme="minorHAnsi"/>
                <w:b/>
                <w:bCs/>
                <w:i/>
                <w:iCs/>
              </w:rPr>
              <w:t xml:space="preserve">Par </w:t>
            </w:r>
            <w:r>
              <w:rPr>
                <w:rFonts w:asciiTheme="minorHAnsi" w:hAnsiTheme="minorHAnsi" w:cstheme="minorHAnsi"/>
                <w:b/>
                <w:bCs/>
                <w:i/>
                <w:iCs/>
              </w:rPr>
              <w:t xml:space="preserve">papildu skaidrojumu sniegšanu par </w:t>
            </w:r>
          </w:p>
          <w:p w14:paraId="4A93FA51" w14:textId="77777777" w:rsidR="00E91541" w:rsidRPr="00590967" w:rsidRDefault="00E91541" w:rsidP="00E91541">
            <w:pPr>
              <w:spacing w:line="276" w:lineRule="auto"/>
              <w:rPr>
                <w:rFonts w:asciiTheme="minorHAnsi" w:hAnsiTheme="minorHAnsi" w:cstheme="minorHAnsi"/>
                <w:b/>
                <w:bCs/>
                <w:i/>
                <w:iCs/>
              </w:rPr>
            </w:pPr>
            <w:r w:rsidRPr="00590967">
              <w:rPr>
                <w:rFonts w:asciiTheme="minorHAnsi" w:hAnsiTheme="minorHAnsi" w:cstheme="minorHAnsi"/>
                <w:b/>
                <w:bCs/>
                <w:i/>
                <w:iCs/>
              </w:rPr>
              <w:t>noteikumu projektu (projekta ID 24-TA-1365)</w:t>
            </w:r>
          </w:p>
          <w:p w14:paraId="29F6C97F" w14:textId="77777777" w:rsidR="00E91541" w:rsidRPr="00590967" w:rsidRDefault="00E91541" w:rsidP="00E91541">
            <w:pPr>
              <w:pStyle w:val="NoSpacing"/>
              <w:jc w:val="both"/>
              <w:rPr>
                <w:rFonts w:asciiTheme="minorHAnsi" w:hAnsiTheme="minorHAnsi" w:cstheme="minorHAnsi"/>
                <w:color w:val="000000"/>
                <w:lang w:val="lv-LV"/>
              </w:rPr>
            </w:pPr>
          </w:p>
          <w:p w14:paraId="7B9CDF54" w14:textId="77777777" w:rsidR="00E91541" w:rsidRPr="0031172C" w:rsidRDefault="00E91541" w:rsidP="00E91541">
            <w:pPr>
              <w:rPr>
                <w:rFonts w:asciiTheme="minorHAnsi" w:hAnsiTheme="minorHAnsi" w:cstheme="minorHAnsi"/>
              </w:rPr>
            </w:pPr>
            <w:r w:rsidRPr="00590967">
              <w:rPr>
                <w:rFonts w:asciiTheme="minorHAnsi" w:hAnsiTheme="minorHAnsi" w:cstheme="minorHAnsi"/>
                <w:color w:val="000000"/>
              </w:rPr>
              <w:tab/>
            </w:r>
            <w:r>
              <w:rPr>
                <w:rFonts w:asciiTheme="minorHAnsi" w:hAnsiTheme="minorHAnsi" w:cstheme="minorHAnsi"/>
              </w:rPr>
              <w:t>2025. gada 7. janvārī</w:t>
            </w:r>
            <w:r w:rsidRPr="00590967">
              <w:rPr>
                <w:rFonts w:asciiTheme="minorHAnsi" w:hAnsiTheme="minorHAnsi" w:cstheme="minorHAnsi"/>
              </w:rPr>
              <w:t xml:space="preserve"> SIA „CHR Design Solutions” </w:t>
            </w:r>
            <w:r>
              <w:rPr>
                <w:rFonts w:asciiTheme="minorHAnsi" w:hAnsiTheme="minorHAnsi" w:cstheme="minorHAnsi"/>
              </w:rPr>
              <w:t>vēstulē Nr.V25/3</w:t>
            </w:r>
            <w:r w:rsidRPr="00590967">
              <w:rPr>
                <w:rFonts w:asciiTheme="minorHAnsi" w:hAnsiTheme="minorHAnsi" w:cstheme="minorHAnsi"/>
              </w:rPr>
              <w:t xml:space="preserve"> pau</w:t>
            </w:r>
            <w:r>
              <w:rPr>
                <w:rFonts w:asciiTheme="minorHAnsi" w:hAnsiTheme="minorHAnsi" w:cstheme="minorHAnsi"/>
              </w:rPr>
              <w:t>da</w:t>
            </w:r>
            <w:r w:rsidRPr="00590967">
              <w:rPr>
                <w:rFonts w:asciiTheme="minorHAnsi" w:hAnsiTheme="minorHAnsi" w:cstheme="minorHAnsi"/>
              </w:rPr>
              <w:t xml:space="preserve"> savu viedokli par Ekonomikas ministrija</w:t>
            </w:r>
            <w:r>
              <w:rPr>
                <w:rFonts w:asciiTheme="minorHAnsi" w:hAnsiTheme="minorHAnsi" w:cstheme="minorHAnsi"/>
              </w:rPr>
              <w:t>s</w:t>
            </w:r>
            <w:r w:rsidRPr="00590967">
              <w:rPr>
                <w:rFonts w:asciiTheme="minorHAnsi" w:hAnsiTheme="minorHAnsi" w:cstheme="minorHAnsi"/>
              </w:rPr>
              <w:t xml:space="preserve"> izstrādā</w:t>
            </w:r>
            <w:r>
              <w:rPr>
                <w:rFonts w:asciiTheme="minorHAnsi" w:hAnsiTheme="minorHAnsi" w:cstheme="minorHAnsi"/>
              </w:rPr>
              <w:t>to</w:t>
            </w:r>
            <w:r w:rsidRPr="00590967">
              <w:rPr>
                <w:rFonts w:asciiTheme="minorHAnsi" w:hAnsiTheme="minorHAnsi" w:cstheme="minorHAnsi"/>
              </w:rPr>
              <w:t xml:space="preserve"> Ministru kabineta noteikumu projektu “</w:t>
            </w:r>
            <w:r w:rsidRPr="00590967">
              <w:rPr>
                <w:rFonts w:asciiTheme="minorHAnsi" w:hAnsiTheme="minorHAnsi" w:cstheme="minorHAnsi"/>
                <w:shd w:val="clear" w:color="auto" w:fill="FFFFFF"/>
              </w:rPr>
              <w:t>Grozījumi Ministru kabineta 2018.gada 20.marta noteikumos Nr.169 “Būvspeciālistu kompetences novērtēšanas un patstāvīgās prakses uzraudzības noteikumi”</w:t>
            </w:r>
            <w:r w:rsidRPr="00590967">
              <w:rPr>
                <w:rFonts w:asciiTheme="minorHAnsi" w:hAnsiTheme="minorHAnsi" w:cstheme="minorHAnsi"/>
              </w:rPr>
              <w:t>” (turpmāk – Noteikumu projekts)</w:t>
            </w:r>
            <w:r>
              <w:rPr>
                <w:rFonts w:asciiTheme="minorHAnsi" w:hAnsiTheme="minorHAnsi" w:cstheme="minorHAnsi"/>
              </w:rPr>
              <w:t>.</w:t>
            </w:r>
          </w:p>
          <w:p w14:paraId="4C30A3AF" w14:textId="77777777" w:rsidR="00E91541" w:rsidRPr="00D40F7E" w:rsidRDefault="00E91541" w:rsidP="00E91541">
            <w:pPr>
              <w:rPr>
                <w:rFonts w:asciiTheme="minorHAnsi" w:hAnsiTheme="minorHAnsi" w:cstheme="minorHAnsi"/>
              </w:rPr>
            </w:pPr>
            <w:r w:rsidRPr="0031172C">
              <w:rPr>
                <w:rFonts w:asciiTheme="minorHAnsi" w:hAnsiTheme="minorHAnsi" w:cstheme="minorHAnsi"/>
              </w:rPr>
              <w:tab/>
              <w:t xml:space="preserve">Atsaucoties uz telefonsarunu ar Ekonomikas ministrijas pārstāvi un 2025. gada 14. janvārī elektroniskajā pastā saņemto pieprasījumu par papildu </w:t>
            </w:r>
            <w:r>
              <w:rPr>
                <w:rFonts w:asciiTheme="minorHAnsi" w:hAnsiTheme="minorHAnsi" w:cstheme="minorHAnsi"/>
              </w:rPr>
              <w:t>skaidrojumu</w:t>
            </w:r>
            <w:r w:rsidRPr="0031172C">
              <w:rPr>
                <w:rFonts w:asciiTheme="minorHAnsi" w:hAnsiTheme="minorHAnsi" w:cstheme="minorHAnsi"/>
              </w:rPr>
              <w:t xml:space="preserve"> sniegšanu</w:t>
            </w:r>
            <w:r>
              <w:rPr>
                <w:rFonts w:asciiTheme="minorHAnsi" w:hAnsiTheme="minorHAnsi" w:cstheme="minorHAnsi"/>
              </w:rPr>
              <w:t xml:space="preserve"> </w:t>
            </w:r>
            <w:r w:rsidRPr="0031172C">
              <w:rPr>
                <w:rFonts w:asciiTheme="minorHAnsi" w:hAnsiTheme="minorHAnsi" w:cstheme="minorHAnsi"/>
              </w:rPr>
              <w:t xml:space="preserve">par to, kāpēc tiltu jomas būvspeciālistiem nebūtu pietiekoša kompetence darbam ar estakādes tipa piestātnēm </w:t>
            </w:r>
            <w:r w:rsidRPr="00D40F7E">
              <w:rPr>
                <w:rFonts w:asciiTheme="minorHAnsi" w:hAnsiTheme="minorHAnsi" w:cstheme="minorHAnsi"/>
              </w:rPr>
              <w:t>un krastu nostiprinājumiem, skaidrojam turpmāk minēto.</w:t>
            </w:r>
          </w:p>
          <w:p w14:paraId="01044852" w14:textId="77777777" w:rsidR="00E91541" w:rsidRPr="00D40F7E" w:rsidRDefault="00E91541" w:rsidP="00E91541">
            <w:pPr>
              <w:ind w:firstLine="720"/>
              <w:rPr>
                <w:rFonts w:asciiTheme="minorHAnsi" w:hAnsiTheme="minorHAnsi" w:cstheme="minorHAnsi"/>
              </w:rPr>
            </w:pPr>
            <w:r w:rsidRPr="00D40F7E">
              <w:rPr>
                <w:rFonts w:asciiTheme="minorHAnsi" w:hAnsiTheme="minorHAnsi" w:cstheme="minorHAnsi"/>
              </w:rPr>
              <w:t xml:space="preserve">Tiltu būvniecības speciālistu kompetences paplašināšana, iekļaujot līdzīgus būvprojektus no ostu un jūras hidrotehnisko būvju jomas, kā arī krastmalu </w:t>
            </w:r>
            <w:r w:rsidRPr="00D40F7E">
              <w:rPr>
                <w:rFonts w:asciiTheme="minorHAnsi" w:hAnsiTheme="minorHAnsi" w:cstheme="minorHAnsi"/>
              </w:rPr>
              <w:lastRenderedPageBreak/>
              <w:t xml:space="preserve">nostiprinājumu un estakādes tipa piestātņu projektēšanu, nav pamatota, jo šīs divas būvju kategorijas atšķiras gan konstrukciju veidos, gan projektēšanas metodikā. Saskaņā ar Ekonomikas ministrijas piedāvātajiem grozījumiem, būvniecības speciālistiem būtu jādod tiesības projektēt gan tiltu, gan hidrotehnisko būvju (piemēram, estakādes tipa piestātņu) projektus, balstoties uz pieņēmumu, ka šīs divas būvju kategorijas ir līdzīgas. Tomēr šis </w:t>
            </w:r>
            <w:r>
              <w:rPr>
                <w:rFonts w:asciiTheme="minorHAnsi" w:hAnsiTheme="minorHAnsi" w:cstheme="minorHAnsi"/>
              </w:rPr>
              <w:t>pieņēmums</w:t>
            </w:r>
            <w:r w:rsidRPr="00D40F7E">
              <w:rPr>
                <w:rFonts w:asciiTheme="minorHAnsi" w:hAnsiTheme="minorHAnsi" w:cstheme="minorHAnsi"/>
              </w:rPr>
              <w:t xml:space="preserve"> ir kļūdains, jo tiltu projektēšanā un būvniecībā tiek izmantota pilnīgi atšķirīga pieeja un metodika, nekā hidrotehnisko būvju, piemēram, estakādes tipa piestātņu būvniecībā.</w:t>
            </w:r>
          </w:p>
          <w:p w14:paraId="1C5719CE" w14:textId="77777777" w:rsidR="00E91541" w:rsidRPr="00686A73" w:rsidRDefault="00E91541" w:rsidP="00E91541">
            <w:pPr>
              <w:ind w:firstLine="720"/>
              <w:rPr>
                <w:rFonts w:asciiTheme="minorHAnsi" w:hAnsiTheme="minorHAnsi" w:cstheme="minorHAnsi"/>
              </w:rPr>
            </w:pPr>
            <w:r>
              <w:rPr>
                <w:rFonts w:asciiTheme="minorHAnsi" w:hAnsiTheme="minorHAnsi" w:cstheme="minorHAnsi"/>
                <w:lang w:eastAsia="en-US"/>
              </w:rPr>
              <w:t>T</w:t>
            </w:r>
            <w:r w:rsidRPr="00ED1B8E">
              <w:rPr>
                <w:rFonts w:asciiTheme="minorHAnsi" w:hAnsiTheme="minorHAnsi" w:cstheme="minorHAnsi"/>
                <w:lang w:eastAsia="en-US"/>
              </w:rPr>
              <w:t>ilt</w:t>
            </w:r>
            <w:r>
              <w:rPr>
                <w:rFonts w:asciiTheme="minorHAnsi" w:hAnsiTheme="minorHAnsi" w:cstheme="minorHAnsi"/>
                <w:lang w:eastAsia="en-US"/>
              </w:rPr>
              <w:t xml:space="preserve">i </w:t>
            </w:r>
            <w:r w:rsidRPr="00ED1B8E">
              <w:rPr>
                <w:rFonts w:asciiTheme="minorHAnsi" w:hAnsiTheme="minorHAnsi" w:cstheme="minorHAnsi"/>
                <w:lang w:eastAsia="en-US"/>
              </w:rPr>
              <w:t xml:space="preserve">un hidrotehniskās būves ir atsevišķas kategorijas, kas prasa specifiskas zināšanas un pieredzi. </w:t>
            </w:r>
            <w:r w:rsidRPr="00686A73">
              <w:rPr>
                <w:rFonts w:asciiTheme="minorHAnsi" w:hAnsiTheme="minorHAnsi" w:cstheme="minorHAnsi"/>
                <w:lang w:eastAsia="en-US"/>
              </w:rPr>
              <w:t xml:space="preserve">Tiltu būvniecības un projektēšanas uzdevumi ir saistīti ar sarežģītām slodžu un piepūļu </w:t>
            </w:r>
            <w:r>
              <w:rPr>
                <w:rFonts w:asciiTheme="minorHAnsi" w:hAnsiTheme="minorHAnsi" w:cstheme="minorHAnsi"/>
                <w:lang w:eastAsia="en-US"/>
              </w:rPr>
              <w:t>aprēķina shēmām</w:t>
            </w:r>
            <w:r w:rsidRPr="00686A73">
              <w:rPr>
                <w:rFonts w:asciiTheme="minorHAnsi" w:hAnsiTheme="minorHAnsi" w:cstheme="minorHAnsi"/>
                <w:lang w:eastAsia="en-US"/>
              </w:rPr>
              <w:t>, kas ievērojami atšķiras no hidrotehnisko būvju projektēšanas. Attiecīgi tiltu projektētājiem, kuriem nav pieredzes hidro</w:t>
            </w:r>
            <w:r>
              <w:rPr>
                <w:rFonts w:asciiTheme="minorHAnsi" w:hAnsiTheme="minorHAnsi" w:cstheme="minorHAnsi"/>
                <w:lang w:eastAsia="en-US"/>
              </w:rPr>
              <w:t>būvju</w:t>
            </w:r>
            <w:r w:rsidRPr="00686A73">
              <w:rPr>
                <w:rFonts w:asciiTheme="minorHAnsi" w:hAnsiTheme="minorHAnsi" w:cstheme="minorHAnsi"/>
                <w:lang w:eastAsia="en-US"/>
              </w:rPr>
              <w:t xml:space="preserve"> būvniecībā</w:t>
            </w:r>
            <w:r>
              <w:rPr>
                <w:rFonts w:asciiTheme="minorHAnsi" w:hAnsiTheme="minorHAnsi" w:cstheme="minorHAnsi"/>
                <w:lang w:eastAsia="en-US"/>
              </w:rPr>
              <w:t xml:space="preserve"> un projektēšanā</w:t>
            </w:r>
            <w:r w:rsidRPr="00686A73">
              <w:rPr>
                <w:rFonts w:asciiTheme="minorHAnsi" w:hAnsiTheme="minorHAnsi" w:cstheme="minorHAnsi"/>
                <w:lang w:eastAsia="en-US"/>
              </w:rPr>
              <w:t>, nebūtu jāuzņemas atbildība par šādu būvju projektēšanu.</w:t>
            </w:r>
            <w:r>
              <w:rPr>
                <w:rFonts w:asciiTheme="minorHAnsi" w:hAnsiTheme="minorHAnsi" w:cstheme="minorHAnsi"/>
                <w:lang w:eastAsia="en-US"/>
              </w:rPr>
              <w:t xml:space="preserve"> Kā piemēru var minēt korektu slodžu aprēķinu no pietauvojamiem kuģiem uz piestātnes konstrukciju, kur jāņem vērā gan kuģu izmēri, to tips, pienākšanas ātrums, kuģu </w:t>
            </w:r>
            <w:proofErr w:type="spellStart"/>
            <w:r>
              <w:rPr>
                <w:rFonts w:asciiTheme="minorHAnsi" w:hAnsiTheme="minorHAnsi" w:cstheme="minorHAnsi"/>
                <w:lang w:eastAsia="en-US"/>
              </w:rPr>
              <w:t>ūdensizspaids</w:t>
            </w:r>
            <w:proofErr w:type="spellEnd"/>
            <w:r>
              <w:rPr>
                <w:rFonts w:asciiTheme="minorHAnsi" w:hAnsiTheme="minorHAnsi" w:cstheme="minorHAnsi"/>
                <w:lang w:eastAsia="en-US"/>
              </w:rPr>
              <w:t xml:space="preserve">, tauvošanās leņķis, uzstādītās </w:t>
            </w:r>
            <w:proofErr w:type="spellStart"/>
            <w:r>
              <w:rPr>
                <w:rFonts w:asciiTheme="minorHAnsi" w:hAnsiTheme="minorHAnsi" w:cstheme="minorHAnsi"/>
                <w:lang w:eastAsia="en-US"/>
              </w:rPr>
              <w:t>atvairierīces</w:t>
            </w:r>
            <w:proofErr w:type="spellEnd"/>
            <w:r>
              <w:rPr>
                <w:rFonts w:asciiTheme="minorHAnsi" w:hAnsiTheme="minorHAnsi" w:cstheme="minorHAnsi"/>
                <w:lang w:eastAsia="en-US"/>
              </w:rPr>
              <w:t xml:space="preserve"> un citi faktori. Līdzīgi ir arī </w:t>
            </w:r>
            <w:r>
              <w:rPr>
                <w:rFonts w:asciiTheme="minorHAnsi" w:hAnsiTheme="minorHAnsi" w:cstheme="minorHAnsi"/>
                <w:lang w:eastAsia="en-US"/>
              </w:rPr>
              <w:lastRenderedPageBreak/>
              <w:t>ar pietauvotu kuģu tauvošanās shēmu izstrādēm un tauvošanās aprīkojuma piemeklēšanu – bez atbilstošas pieredzes hidrobūvju projektēšanā ir viegli kļūdīties izdarāmos pieņēmumos, kas var radīt bīstamus projektējamo piestātņu ekspluatācijas apstākļus pieredzes trūkuma dēļ.</w:t>
            </w:r>
          </w:p>
          <w:p w14:paraId="5485A729" w14:textId="77777777" w:rsidR="00E91541" w:rsidRPr="000C3EAD" w:rsidRDefault="00E91541" w:rsidP="00E91541">
            <w:pPr>
              <w:ind w:firstLine="720"/>
              <w:rPr>
                <w:lang w:eastAsia="en-US"/>
              </w:rPr>
            </w:pPr>
            <w:r w:rsidRPr="00686A73">
              <w:rPr>
                <w:rFonts w:asciiTheme="minorHAnsi" w:hAnsiTheme="minorHAnsi" w:cstheme="minorHAnsi"/>
                <w:lang w:eastAsia="en-US"/>
              </w:rPr>
              <w:t>Līdzīgi, hidrotehniskajām būvēm, piemēram, estakādes tipa piestātnēm, ir nepieciešama cita veida zināšanas un pieredze, kas nav piemērojama tiltu projektēšanā. Šādu kompetenču sajaukšana var radīt nopietnus drošības riskus un var novest pie negadījumiem vai pat traģēdijām</w:t>
            </w:r>
            <w:r>
              <w:rPr>
                <w:rFonts w:asciiTheme="minorHAnsi" w:hAnsiTheme="minorHAnsi" w:cstheme="minorHAnsi"/>
                <w:lang w:eastAsia="en-US"/>
              </w:rPr>
              <w:t>, kā rezultātā ietu bojā civiliedzīvotāji</w:t>
            </w:r>
            <w:r w:rsidRPr="00686A73">
              <w:rPr>
                <w:rFonts w:asciiTheme="minorHAnsi" w:hAnsiTheme="minorHAnsi" w:cstheme="minorHAnsi"/>
                <w:lang w:eastAsia="en-US"/>
              </w:rPr>
              <w:t>. Šāds pieņēmums par būvniecības speciālistu kompetenci ne tikai apdraud sabiedrisko drošību, bet arī var novest pie nevajadzīgām un bīstamām kļūdām būvniecības projektos.</w:t>
            </w:r>
          </w:p>
          <w:p w14:paraId="266AC57F" w14:textId="77777777" w:rsidR="00E91541" w:rsidRPr="00ED1B8E" w:rsidRDefault="00E91541" w:rsidP="00E91541">
            <w:pPr>
              <w:ind w:firstLine="720"/>
              <w:rPr>
                <w:rFonts w:asciiTheme="minorHAnsi" w:hAnsiTheme="minorHAnsi" w:cstheme="minorHAnsi"/>
                <w:lang w:eastAsia="en-US"/>
              </w:rPr>
            </w:pPr>
            <w:r>
              <w:rPr>
                <w:rFonts w:asciiTheme="minorHAnsi" w:hAnsiTheme="minorHAnsi" w:cstheme="minorHAnsi"/>
                <w:lang w:eastAsia="en-US"/>
              </w:rPr>
              <w:t xml:space="preserve">Tāpat norādām, ka ir nepieņemami un bezatbildīgi </w:t>
            </w:r>
            <w:r w:rsidRPr="00ED1B8E">
              <w:rPr>
                <w:rFonts w:asciiTheme="minorHAnsi" w:hAnsiTheme="minorHAnsi" w:cstheme="minorHAnsi"/>
                <w:lang w:eastAsia="en-US"/>
              </w:rPr>
              <w:t xml:space="preserve">tiltu būvniecības speciālistiem </w:t>
            </w:r>
            <w:r>
              <w:rPr>
                <w:rFonts w:asciiTheme="minorHAnsi" w:hAnsiTheme="minorHAnsi" w:cstheme="minorHAnsi"/>
                <w:lang w:eastAsia="en-US"/>
              </w:rPr>
              <w:t>uzticēt</w:t>
            </w:r>
            <w:r w:rsidRPr="00ED1B8E">
              <w:rPr>
                <w:rFonts w:asciiTheme="minorHAnsi" w:hAnsiTheme="minorHAnsi" w:cstheme="minorHAnsi"/>
                <w:lang w:eastAsia="en-US"/>
              </w:rPr>
              <w:t xml:space="preserve"> </w:t>
            </w:r>
            <w:r w:rsidRPr="00F8755B">
              <w:rPr>
                <w:rFonts w:asciiTheme="minorHAnsi" w:hAnsiTheme="minorHAnsi" w:cstheme="minorHAnsi"/>
                <w:lang w:eastAsia="en-US"/>
              </w:rPr>
              <w:t>būvdarbu vadīšan</w:t>
            </w:r>
            <w:r>
              <w:rPr>
                <w:rFonts w:asciiTheme="minorHAnsi" w:hAnsiTheme="minorHAnsi" w:cstheme="minorHAnsi"/>
                <w:lang w:eastAsia="en-US"/>
              </w:rPr>
              <w:t>u</w:t>
            </w:r>
            <w:r w:rsidRPr="00F8755B">
              <w:rPr>
                <w:rFonts w:asciiTheme="minorHAnsi" w:hAnsiTheme="minorHAnsi" w:cstheme="minorHAnsi"/>
                <w:lang w:eastAsia="en-US"/>
              </w:rPr>
              <w:t xml:space="preserve"> un būvuzraudzīb</w:t>
            </w:r>
            <w:r>
              <w:rPr>
                <w:rFonts w:asciiTheme="minorHAnsi" w:hAnsiTheme="minorHAnsi" w:cstheme="minorHAnsi"/>
                <w:lang w:eastAsia="en-US"/>
              </w:rPr>
              <w:t>u</w:t>
            </w:r>
            <w:r w:rsidRPr="00F8755B">
              <w:rPr>
                <w:rFonts w:asciiTheme="minorHAnsi" w:hAnsiTheme="minorHAnsi" w:cstheme="minorHAnsi"/>
                <w:lang w:eastAsia="en-US"/>
              </w:rPr>
              <w:t>, būvprojektu un būvju ekspertīzes darbus arī krastmalām ar dažādu veidu krasta nostiprinājumiem un estakādes tipa iekšzemes ūdeņu piestātnēm</w:t>
            </w:r>
            <w:r w:rsidRPr="00ED1B8E">
              <w:rPr>
                <w:rFonts w:asciiTheme="minorHAnsi" w:hAnsiTheme="minorHAnsi" w:cstheme="minorHAnsi"/>
                <w:lang w:eastAsia="en-US"/>
              </w:rPr>
              <w:t>,</w:t>
            </w:r>
            <w:r>
              <w:rPr>
                <w:rFonts w:asciiTheme="minorHAnsi" w:hAnsiTheme="minorHAnsi" w:cstheme="minorHAnsi"/>
                <w:lang w:eastAsia="en-US"/>
              </w:rPr>
              <w:t xml:space="preserve"> kuru sastāvā iekļaujas arī ostu teritorijas.</w:t>
            </w:r>
            <w:r w:rsidRPr="00ED1B8E">
              <w:rPr>
                <w:rFonts w:asciiTheme="minorHAnsi" w:hAnsiTheme="minorHAnsi" w:cstheme="minorHAnsi"/>
                <w:lang w:eastAsia="en-US"/>
              </w:rPr>
              <w:t xml:space="preserve"> </w:t>
            </w:r>
            <w:r>
              <w:rPr>
                <w:rFonts w:asciiTheme="minorHAnsi" w:hAnsiTheme="minorHAnsi" w:cstheme="minorHAnsi"/>
                <w:lang w:eastAsia="en-US"/>
              </w:rPr>
              <w:t xml:space="preserve">Nav pieļaujams, ka tiltu būvniecības speciālisti, </w:t>
            </w:r>
            <w:r w:rsidRPr="00ED1B8E">
              <w:rPr>
                <w:rFonts w:asciiTheme="minorHAnsi" w:hAnsiTheme="minorHAnsi" w:cstheme="minorHAnsi"/>
                <w:lang w:eastAsia="en-US"/>
              </w:rPr>
              <w:t xml:space="preserve">kuriem </w:t>
            </w:r>
            <w:r>
              <w:rPr>
                <w:rFonts w:asciiTheme="minorHAnsi" w:hAnsiTheme="minorHAnsi" w:cstheme="minorHAnsi"/>
                <w:lang w:eastAsia="en-US"/>
              </w:rPr>
              <w:t>nav</w:t>
            </w:r>
            <w:r w:rsidRPr="00ED1B8E">
              <w:rPr>
                <w:rFonts w:asciiTheme="minorHAnsi" w:hAnsiTheme="minorHAnsi" w:cstheme="minorHAnsi"/>
                <w:lang w:eastAsia="en-US"/>
              </w:rPr>
              <w:t xml:space="preserve"> atbilstoša kvalifikācija un zināšanas šajā jomā</w:t>
            </w:r>
            <w:r>
              <w:rPr>
                <w:rFonts w:asciiTheme="minorHAnsi" w:hAnsiTheme="minorHAnsi" w:cstheme="minorHAnsi"/>
                <w:lang w:eastAsia="en-US"/>
              </w:rPr>
              <w:t xml:space="preserve">, būs tiesiski veikt </w:t>
            </w:r>
            <w:r w:rsidRPr="00F8755B">
              <w:rPr>
                <w:rFonts w:asciiTheme="minorHAnsi" w:hAnsiTheme="minorHAnsi" w:cstheme="minorHAnsi"/>
                <w:lang w:eastAsia="en-US"/>
              </w:rPr>
              <w:t xml:space="preserve">būvdarbu </w:t>
            </w:r>
            <w:r w:rsidRPr="00F8755B">
              <w:rPr>
                <w:rFonts w:asciiTheme="minorHAnsi" w:hAnsiTheme="minorHAnsi" w:cstheme="minorHAnsi"/>
                <w:lang w:eastAsia="en-US"/>
              </w:rPr>
              <w:lastRenderedPageBreak/>
              <w:t>vadīšan</w:t>
            </w:r>
            <w:r>
              <w:rPr>
                <w:rFonts w:asciiTheme="minorHAnsi" w:hAnsiTheme="minorHAnsi" w:cstheme="minorHAnsi"/>
                <w:lang w:eastAsia="en-US"/>
              </w:rPr>
              <w:t>u</w:t>
            </w:r>
            <w:r w:rsidRPr="00F8755B">
              <w:rPr>
                <w:rFonts w:asciiTheme="minorHAnsi" w:hAnsiTheme="minorHAnsi" w:cstheme="minorHAnsi"/>
                <w:lang w:eastAsia="en-US"/>
              </w:rPr>
              <w:t xml:space="preserve"> un būvuzraudzīb</w:t>
            </w:r>
            <w:r>
              <w:rPr>
                <w:rFonts w:asciiTheme="minorHAnsi" w:hAnsiTheme="minorHAnsi" w:cstheme="minorHAnsi"/>
                <w:lang w:eastAsia="en-US"/>
              </w:rPr>
              <w:t>u</w:t>
            </w:r>
            <w:r w:rsidRPr="00F8755B">
              <w:rPr>
                <w:rFonts w:asciiTheme="minorHAnsi" w:hAnsiTheme="minorHAnsi" w:cstheme="minorHAnsi"/>
                <w:lang w:eastAsia="en-US"/>
              </w:rPr>
              <w:t>, būvprojektu un būvju ekspertīzes darbus</w:t>
            </w:r>
            <w:r>
              <w:rPr>
                <w:rFonts w:asciiTheme="minorHAnsi" w:hAnsiTheme="minorHAnsi" w:cstheme="minorHAnsi"/>
                <w:lang w:eastAsia="en-US"/>
              </w:rPr>
              <w:t xml:space="preserve"> </w:t>
            </w:r>
            <w:proofErr w:type="spellStart"/>
            <w:r>
              <w:rPr>
                <w:rFonts w:asciiTheme="minorHAnsi" w:hAnsiTheme="minorHAnsi" w:cstheme="minorHAnsi"/>
                <w:lang w:eastAsia="en-US"/>
              </w:rPr>
              <w:t>kristiskās</w:t>
            </w:r>
            <w:proofErr w:type="spellEnd"/>
            <w:r>
              <w:rPr>
                <w:rFonts w:asciiTheme="minorHAnsi" w:hAnsiTheme="minorHAnsi" w:cstheme="minorHAnsi"/>
                <w:lang w:eastAsia="en-US"/>
              </w:rPr>
              <w:t xml:space="preserve"> infrastruktūras objektiem</w:t>
            </w:r>
            <w:r w:rsidRPr="00ED1B8E">
              <w:rPr>
                <w:rFonts w:asciiTheme="minorHAnsi" w:hAnsiTheme="minorHAnsi" w:cstheme="minorHAnsi"/>
                <w:lang w:eastAsia="en-US"/>
              </w:rPr>
              <w:t>.</w:t>
            </w:r>
          </w:p>
          <w:p w14:paraId="69276304" w14:textId="77777777" w:rsidR="00E91541" w:rsidRPr="00300EB7" w:rsidRDefault="00E91541" w:rsidP="00E91541">
            <w:pPr>
              <w:ind w:firstLine="720"/>
              <w:rPr>
                <w:rFonts w:asciiTheme="minorHAnsi" w:hAnsiTheme="minorHAnsi" w:cstheme="minorHAnsi"/>
                <w:lang w:eastAsia="en-US"/>
              </w:rPr>
            </w:pPr>
            <w:r w:rsidRPr="005D01F4">
              <w:rPr>
                <w:rFonts w:asciiTheme="minorHAnsi" w:hAnsiTheme="minorHAnsi" w:cstheme="minorHAnsi"/>
                <w:lang w:eastAsia="en-US"/>
              </w:rPr>
              <w:t xml:space="preserve">Kā arī, ņemot vērā, ka ostu teritorijas ir kritiskās infrastruktūras objekti, ir īpaši svarīgi, lai šos objektus projektētu un uzraudzītu tikai augsti kvalificēti speciālisti, kuriem ir pieredze šajā jomā un kuru kvalifikācija atbilst attiecīgajām normatīvajām prasībām. Šāda pieeja </w:t>
            </w:r>
            <w:r w:rsidRPr="00300EB7">
              <w:rPr>
                <w:rFonts w:asciiTheme="minorHAnsi" w:hAnsiTheme="minorHAnsi" w:cstheme="minorHAnsi"/>
                <w:lang w:eastAsia="en-US"/>
              </w:rPr>
              <w:t>nodrošina nepieciešamo drošību, kā arī atbilstību normatīvajiem aktiem, lai novērstu jebkādus potenciālus riskus, kas varētu apdraudēt sabiedrības un valsts intereses.</w:t>
            </w:r>
          </w:p>
          <w:p w14:paraId="270E6E0A" w14:textId="77777777" w:rsidR="00E91541" w:rsidRPr="00300EB7" w:rsidRDefault="00E91541" w:rsidP="00E91541">
            <w:pPr>
              <w:ind w:firstLine="720"/>
              <w:rPr>
                <w:rFonts w:asciiTheme="minorHAnsi" w:hAnsiTheme="minorHAnsi" w:cstheme="minorHAnsi"/>
              </w:rPr>
            </w:pPr>
            <w:r w:rsidRPr="00300EB7">
              <w:rPr>
                <w:rFonts w:asciiTheme="minorHAnsi" w:hAnsiTheme="minorHAnsi" w:cstheme="minorHAnsi"/>
              </w:rPr>
              <w:t>SIA “CHR Design Solutions” ir izdarījusi secinājumus, ka Noteikumu projekta anotācijā minētā grozījumu nepieciešamība tiek pamatota ar saņemtiem priekšlikumiem, kas liecina par to, ka visticamāk šādus priekšlikumus ir iesnieguši būvniecības uzņēmumi, kuri veic tiltu projektēšanu, būvniecību un/vai būvuzraudzību. Ņemot vērā, ka šāda Noteikumu projekta apstiprināšanas gadījumā notiktu nepamatota kompetenču paplašināšana bez objektīva un argumentēta pamatojuma,</w:t>
            </w:r>
            <w:r>
              <w:rPr>
                <w:rFonts w:asciiTheme="minorHAnsi" w:hAnsiTheme="minorHAnsi" w:cstheme="minorHAnsi"/>
              </w:rPr>
              <w:t xml:space="preserve"> ceram</w:t>
            </w:r>
            <w:r w:rsidRPr="00300EB7">
              <w:rPr>
                <w:rFonts w:asciiTheme="minorHAnsi" w:hAnsiTheme="minorHAnsi" w:cstheme="minorHAnsi"/>
              </w:rPr>
              <w:t>, ka Noteikumu projekta virzīšana nav veikta kāda konkrēta būvniecības uzņēmuma</w:t>
            </w:r>
            <w:r>
              <w:rPr>
                <w:rFonts w:asciiTheme="minorHAnsi" w:hAnsiTheme="minorHAnsi" w:cstheme="minorHAnsi"/>
              </w:rPr>
              <w:t>, kas specializējas tiltu vai hidrotehnisko būvju projektēšanā, būvniecībā un būvuzraudzībā,</w:t>
            </w:r>
            <w:r w:rsidRPr="00300EB7">
              <w:rPr>
                <w:rFonts w:asciiTheme="minorHAnsi" w:hAnsiTheme="minorHAnsi" w:cstheme="minorHAnsi"/>
              </w:rPr>
              <w:t xml:space="preserve"> interesēs.</w:t>
            </w:r>
          </w:p>
          <w:p w14:paraId="6FA04A73" w14:textId="77777777" w:rsidR="00E91541" w:rsidRDefault="00E91541" w:rsidP="00E91541">
            <w:pPr>
              <w:ind w:firstLine="720"/>
              <w:rPr>
                <w:rFonts w:asciiTheme="minorHAnsi" w:hAnsiTheme="minorHAnsi" w:cstheme="minorHAnsi"/>
              </w:rPr>
            </w:pPr>
            <w:r>
              <w:rPr>
                <w:rFonts w:asciiTheme="minorHAnsi" w:hAnsiTheme="minorHAnsi" w:cstheme="minorHAnsi"/>
              </w:rPr>
              <w:lastRenderedPageBreak/>
              <w:t xml:space="preserve">Atkārtoti vēršam Ekonomikas ministrijas uzmanību, ka, apstiprinot </w:t>
            </w:r>
            <w:r w:rsidRPr="00590967">
              <w:rPr>
                <w:rFonts w:asciiTheme="minorHAnsi" w:hAnsiTheme="minorHAnsi" w:cstheme="minorHAnsi"/>
              </w:rPr>
              <w:t>Ministru kabinetā Ministru kabineta noteikumu projektu “</w:t>
            </w:r>
            <w:r w:rsidRPr="00590967">
              <w:rPr>
                <w:rFonts w:asciiTheme="minorHAnsi" w:hAnsiTheme="minorHAnsi" w:cstheme="minorHAnsi"/>
                <w:shd w:val="clear" w:color="auto" w:fill="FFFFFF"/>
              </w:rPr>
              <w:t>Grozījumi Ministru kabineta 2018.gada 20.marta noteikumos Nr.169 “Būvspeciālistu kompetences novērtēšanas un patstāvīgās prakses uzraudzības noteikumi”” daļā, kas attiecas uz tiltu darbības sfēru būvspeciālistu kompetences paplašināšanā un ostu un jūras hidrotehnisko būvju jomas būvspeciālistu kompetences paplašināšanā</w:t>
            </w:r>
            <w:r>
              <w:rPr>
                <w:rFonts w:asciiTheme="minorHAnsi" w:hAnsiTheme="minorHAnsi" w:cstheme="minorHAnsi"/>
                <w:shd w:val="clear" w:color="auto" w:fill="FFFFFF"/>
              </w:rPr>
              <w:t>,</w:t>
            </w:r>
            <w:r>
              <w:rPr>
                <w:rFonts w:asciiTheme="minorHAnsi" w:hAnsiTheme="minorHAnsi" w:cstheme="minorHAnsi"/>
              </w:rPr>
              <w:t xml:space="preserve"> </w:t>
            </w:r>
            <w:r w:rsidRPr="009513E7">
              <w:rPr>
                <w:rFonts w:asciiTheme="minorHAnsi" w:hAnsiTheme="minorHAnsi" w:cstheme="minorHAnsi"/>
                <w:b/>
                <w:bCs/>
              </w:rPr>
              <w:t>pastāv iespējamība, ka turpmāk tiks projektētas un būvētas sabiedriskās būves (gājēju un velosipēdu tilti, krastmalas un iekšzemes ūdeņu piestātnes) bez atbilstošas kvalifikācijas un zināšanām par attiecīgo būvju projektēšanas un būvniecības procesu, veicinot iespējamību, ka tiek uzbūvētas attiecīgo kategoriju būvju būvnoteikumiem neatbilstošas un nedrošās būves, tādējādi apdraudot arī sabiedrisko drošību</w:t>
            </w:r>
            <w:r w:rsidRPr="0031172C">
              <w:rPr>
                <w:rFonts w:asciiTheme="minorHAnsi" w:hAnsiTheme="minorHAnsi" w:cstheme="minorHAnsi"/>
              </w:rPr>
              <w:t xml:space="preserve">.  </w:t>
            </w:r>
          </w:p>
          <w:p w14:paraId="73550F4A" w14:textId="77777777" w:rsidR="00E91541" w:rsidRPr="00D171B1" w:rsidRDefault="00E91541" w:rsidP="00E91541">
            <w:pPr>
              <w:ind w:firstLine="720"/>
              <w:rPr>
                <w:rFonts w:asciiTheme="minorHAnsi" w:hAnsiTheme="minorHAnsi" w:cstheme="minorHAnsi"/>
              </w:rPr>
            </w:pPr>
            <w:r w:rsidRPr="00590967">
              <w:rPr>
                <w:rFonts w:asciiTheme="minorHAnsi" w:hAnsiTheme="minorHAnsi" w:cstheme="minorHAnsi"/>
              </w:rPr>
              <w:t>Ņemot vērā visu iepriekš minēto, SIA “CHR Design Solutions”</w:t>
            </w:r>
            <w:r>
              <w:rPr>
                <w:rFonts w:asciiTheme="minorHAnsi" w:hAnsiTheme="minorHAnsi" w:cstheme="minorHAnsi"/>
              </w:rPr>
              <w:t xml:space="preserve">, </w:t>
            </w:r>
            <w:r>
              <w:rPr>
                <w:rFonts w:asciiTheme="minorHAnsi" w:hAnsiTheme="minorHAnsi" w:cstheme="minorHAnsi"/>
                <w:b/>
                <w:bCs/>
              </w:rPr>
              <w:t xml:space="preserve">atkārtoti </w:t>
            </w:r>
            <w:r w:rsidRPr="00590967">
              <w:rPr>
                <w:rFonts w:asciiTheme="minorHAnsi" w:hAnsiTheme="minorHAnsi" w:cstheme="minorHAnsi"/>
                <w:b/>
                <w:bCs/>
              </w:rPr>
              <w:t>lūdz Ekonomikas ministriju:</w:t>
            </w:r>
          </w:p>
          <w:p w14:paraId="21389148" w14:textId="77777777" w:rsidR="00E91541" w:rsidRPr="005651C0" w:rsidRDefault="00E91541" w:rsidP="00E91541">
            <w:pPr>
              <w:pStyle w:val="ListParagraph"/>
              <w:numPr>
                <w:ilvl w:val="0"/>
                <w:numId w:val="1"/>
              </w:numPr>
              <w:tabs>
                <w:tab w:val="left" w:pos="284"/>
              </w:tabs>
              <w:suppressAutoHyphens w:val="0"/>
              <w:ind w:left="0" w:firstLine="0"/>
              <w:jc w:val="both"/>
              <w:rPr>
                <w:rFonts w:asciiTheme="minorHAnsi" w:hAnsiTheme="minorHAnsi" w:cstheme="minorHAnsi"/>
              </w:rPr>
            </w:pPr>
            <w:r w:rsidRPr="005651C0">
              <w:rPr>
                <w:rFonts w:asciiTheme="minorHAnsi" w:hAnsiTheme="minorHAnsi" w:cstheme="minorHAnsi"/>
              </w:rPr>
              <w:t>izvērtēt un ņemt vērā šajā vēstulē izklāstītos argumentus;</w:t>
            </w:r>
          </w:p>
          <w:p w14:paraId="122A3354" w14:textId="77777777" w:rsidR="00E91541" w:rsidRPr="005651C0" w:rsidRDefault="00E91541" w:rsidP="00E91541">
            <w:pPr>
              <w:pStyle w:val="ListParagraph"/>
              <w:numPr>
                <w:ilvl w:val="0"/>
                <w:numId w:val="1"/>
              </w:numPr>
              <w:tabs>
                <w:tab w:val="left" w:pos="284"/>
              </w:tabs>
              <w:suppressAutoHyphens w:val="0"/>
              <w:ind w:left="0" w:firstLine="0"/>
              <w:jc w:val="both"/>
              <w:rPr>
                <w:rFonts w:asciiTheme="minorHAnsi" w:hAnsiTheme="minorHAnsi" w:cstheme="minorHAnsi"/>
              </w:rPr>
            </w:pPr>
            <w:r w:rsidRPr="005651C0">
              <w:rPr>
                <w:rFonts w:asciiTheme="minorHAnsi" w:hAnsiTheme="minorHAnsi" w:cstheme="minorHAnsi"/>
              </w:rPr>
              <w:t xml:space="preserve">nevirzīt </w:t>
            </w:r>
            <w:r w:rsidRPr="005651C0">
              <w:rPr>
                <w:rFonts w:asciiTheme="minorHAnsi" w:hAnsiTheme="minorHAnsi" w:cstheme="minorHAnsi"/>
                <w:shd w:val="clear" w:color="auto" w:fill="FFFFFF"/>
              </w:rPr>
              <w:t>(izslēgt no Ministru kabineta noteikumu projekta 20.piezīmi un 22.piezīmi).</w:t>
            </w:r>
          </w:p>
          <w:p w14:paraId="5BDE31E6" w14:textId="77777777" w:rsidR="00E91541" w:rsidRDefault="00E91541">
            <w:pPr>
              <w:jc w:val="left"/>
            </w:pPr>
          </w:p>
        </w:tc>
        <w:tc>
          <w:tcPr>
            <w:tcW w:w="1650" w:type="dxa"/>
            <w:shd w:val="clear" w:color="auto" w:fill="FFFFFF"/>
            <w:noWrap/>
            <w:tcMar>
              <w:top w:w="75" w:type="dxa"/>
              <w:left w:w="75" w:type="dxa"/>
              <w:bottom w:w="75" w:type="dxa"/>
              <w:right w:w="75" w:type="dxa"/>
            </w:tcMar>
            <w:vAlign w:val="center"/>
          </w:tcPr>
          <w:p w14:paraId="762D3744" w14:textId="7C2FACD7" w:rsidR="00E91541" w:rsidRDefault="006F7AC3">
            <w:pPr>
              <w:jc w:val="left"/>
            </w:pPr>
            <w:r>
              <w:lastRenderedPageBreak/>
              <w:t>Daļēji ņemts vērā</w:t>
            </w:r>
          </w:p>
        </w:tc>
        <w:tc>
          <w:tcPr>
            <w:tcW w:w="4056" w:type="dxa"/>
            <w:shd w:val="clear" w:color="auto" w:fill="FFFFFF"/>
            <w:noWrap/>
            <w:tcMar>
              <w:top w:w="75" w:type="dxa"/>
              <w:left w:w="75" w:type="dxa"/>
              <w:bottom w:w="75" w:type="dxa"/>
              <w:right w:w="75" w:type="dxa"/>
            </w:tcMar>
            <w:vAlign w:val="center"/>
          </w:tcPr>
          <w:p w14:paraId="15C27D03" w14:textId="77777777" w:rsidR="000D0833" w:rsidRDefault="000D0833" w:rsidP="000D0833">
            <w:r>
              <w:t>Noteikumu projekts ir precizēts un tajā vairs nav paredzēta ostu un jūras hidrotehnisko būvju būvspeciālistu darbības sfēras paplašināšana ar pirmās un otrās grupas gājēju un velosipēdu tiltiem. Pēc atkārtotas diskusijas par šo jautājumu ar biedrības “Latvijas būvinženieru savienība” ekspertiem esam konstatējuši, ka šāda kompetences paplašināšana nav nepieciešama, jo būvniecības nozarē nav iztrūkums pēc būvspeciālistiem, kas var veikt pirmās un otrās grupas gājēju un velosipēdu tiltu projektēšanu, būvdarbu vadīšanu un būvuzraudzību kā arī būvprojektu un būvju ekspertīzi.</w:t>
            </w:r>
          </w:p>
          <w:p w14:paraId="6142A97D" w14:textId="77777777" w:rsidR="000D0833" w:rsidRDefault="000D0833" w:rsidP="000D0833"/>
          <w:p w14:paraId="556D129A" w14:textId="77777777" w:rsidR="000D0833" w:rsidRPr="004C36D1" w:rsidRDefault="000D0833" w:rsidP="000D0833">
            <w:r>
              <w:t xml:space="preserve">Noteikumu projektā tika iekļauti priekšlikumi, kas bija saskaņoti ar </w:t>
            </w:r>
            <w:r>
              <w:lastRenderedPageBreak/>
              <w:t xml:space="preserve">biedrības “Latvijas būvinženieru savienība” darba grupu, kurā tika izskatīts jautājums par kopīgajām kompetencēm tiltu jomas un ostu un jūras hidrotehnisko būvju jomas būvspeciālistiem. </w:t>
            </w:r>
            <w:r w:rsidRPr="004C36D1">
              <w:t xml:space="preserve">Ņemot vērā, ka priekšlikums nāca no </w:t>
            </w:r>
            <w:r>
              <w:t>biedrības “</w:t>
            </w:r>
            <w:r w:rsidRPr="004C36D1">
              <w:t>Latvijas būvinženieru savienība</w:t>
            </w:r>
            <w:r>
              <w:t>”</w:t>
            </w:r>
            <w:r w:rsidRPr="004C36D1">
              <w:t xml:space="preserve"> ekspertu grupas un tika izdiskutēts vairākās sēdēs, kurās piedalījās gan ostu un jūras hidrotehnisko būvju jomas pārstāvji, gan tiltu jomas pārstāvji uzskat</w:t>
            </w:r>
            <w:r>
              <w:t>ā</w:t>
            </w:r>
            <w:r w:rsidRPr="004C36D1">
              <w:t xml:space="preserve">m, ka Jūsu </w:t>
            </w:r>
            <w:r>
              <w:t>atzinumā</w:t>
            </w:r>
            <w:r w:rsidRPr="004C36D1">
              <w:t xml:space="preserve"> norādītie riski</w:t>
            </w:r>
            <w:r>
              <w:t xml:space="preserve"> par tiltu jomas būvspeciālistu kompetences trūkumu attiecībā uz estakādes tipa būvēm nav pamatoti un pilnībā</w:t>
            </w:r>
            <w:r w:rsidRPr="004C36D1">
              <w:t xml:space="preserve"> neatbilst pašreizējai praksei attiecībā uz būvspeciālistu darbības sfērām.</w:t>
            </w:r>
          </w:p>
          <w:p w14:paraId="546F70E4" w14:textId="77777777" w:rsidR="000D0833" w:rsidRDefault="000D0833" w:rsidP="000D0833"/>
          <w:p w14:paraId="524AB797" w14:textId="77777777" w:rsidR="000D0833" w:rsidRDefault="000D0833" w:rsidP="000D0833">
            <w:r>
              <w:t xml:space="preserve">Skaidrojam, ka būvspeciālisti savās darbības sfērās arī darbojas atbilstoši savai kompetencei, jo darbības sfēras ir definētas plašākas, lai neradītu pārmērīgu slogu un ierobežojumus būvspeciālistu patstāvīgās prakses </w:t>
            </w:r>
            <w:r>
              <w:lastRenderedPageBreak/>
              <w:t>veikšanai un pasūtītājiem būvspeciālistu piesaistīšanai. Piemēram, būvspeciālistiem ar patstāvīgās prakses tiesībām ēku konstrukciju projektēšanā ir tiesības projektēt konstrukcijas gan nelielām dzīvojamām ēkām, gan sarežģītām augstceltnēm, kā arī konstrukcijas projektēt var no dzelzsbetona, tērauda, koka u.c. materiāliem. Līdz ar to katrs būvspeciālists uzņemas tikai savai kompetencei atbilstošus projektus.</w:t>
            </w:r>
          </w:p>
          <w:p w14:paraId="1771F0C1" w14:textId="77777777" w:rsidR="000D0833" w:rsidRDefault="000D0833" w:rsidP="000D0833"/>
          <w:p w14:paraId="092DC7E0" w14:textId="77777777" w:rsidR="000D0833" w:rsidRDefault="000D0833" w:rsidP="000D0833">
            <w:r w:rsidRPr="00122172">
              <w:t>Attiecībā uz tiltu jomas būvspeciālistu kompetences paplašināšanu iekļaujot tajā krastu nostiprinājumus un estakādes tipa piestātnes, norādām, ka nereti tilta konstrukcijas sastāvā ir jāparedz arī krasta nostiprinājum</w:t>
            </w:r>
            <w:r>
              <w:t>i līdz ar to nav strīda par to, ka tiltu jomas būvspeciālistiem ir kompetence attiecībā uz krasta nostiprinājumiem.</w:t>
            </w:r>
          </w:p>
          <w:p w14:paraId="3C5992D9" w14:textId="77777777" w:rsidR="000D0833" w:rsidRDefault="000D0833" w:rsidP="000D0833"/>
          <w:p w14:paraId="53636AB1" w14:textId="77777777" w:rsidR="000D0833" w:rsidRPr="001843E9" w:rsidRDefault="000D0833" w:rsidP="000D0833">
            <w:r>
              <w:t xml:space="preserve">Attiecībā uz estakādes tipa piestātnēm jānorāda, ka </w:t>
            </w:r>
            <w:r w:rsidRPr="00122172">
              <w:t xml:space="preserve"> estakādes </w:t>
            </w:r>
            <w:r w:rsidRPr="00122172">
              <w:lastRenderedPageBreak/>
              <w:t>pēc būtības ir tiltiem līdzīgas būves (Estakādes definīcija - Tiltam līdzīga virszemes (</w:t>
            </w:r>
            <w:proofErr w:type="spellStart"/>
            <w:r w:rsidRPr="00122172">
              <w:t>virsūdens</w:t>
            </w:r>
            <w:proofErr w:type="spellEnd"/>
            <w:r w:rsidRPr="00122172">
              <w:t xml:space="preserve">) būve, kas paredzēta zemes uzbēruma aizstāšanai, satiksmes izkārtošanai dažādos līmeņos, inženiertīklu (piem., siltumtrases) ierīkošanai; arī spēkratu novietošanai augstākā līmenī, lai atvieglotu piekļuvi to apakšējām daļām.). </w:t>
            </w:r>
            <w:r>
              <w:t>Attiecībā uz argumentu, ka tiltu jomas būvspeciālistiem nebūs kompetence ievērtēt kuģu radītās dinamiskās slodzes, norādām, ka t</w:t>
            </w:r>
            <w:r w:rsidRPr="001843E9">
              <w:t>iltiem, tāpat kā piestātnēm un citām hidrobūvēm, ir jāņem vērā dažādas dinamiskās slodzes, tostarp iespējamās sadursmes ar kuģiem, ledus slodzes un ūdens plūsmas radītās slodzes. Šo faktoru dēļ tiltu jomas būvspeciālisti ir kompetenti dažādu dinamisko slodžu aprēķināšanā.</w:t>
            </w:r>
          </w:p>
          <w:p w14:paraId="2800FCAB" w14:textId="77777777" w:rsidR="000D0833" w:rsidRDefault="000D0833" w:rsidP="000D0833">
            <w:r w:rsidRPr="001843E9">
              <w:t>Būvprojektu izstrāde notiek atbilstoši standartiem</w:t>
            </w:r>
            <w:r>
              <w:t>, vadlīnijām</w:t>
            </w:r>
            <w:r w:rsidRPr="001843E9">
              <w:t xml:space="preserve"> un normatīvajām prasībām, kas nosaka projektēšanas metodoloģiju </w:t>
            </w:r>
            <w:r w:rsidRPr="001843E9">
              <w:lastRenderedPageBreak/>
              <w:t xml:space="preserve">un slodžu aprēķinu principus. </w:t>
            </w:r>
            <w:r>
              <w:t>Visi būvspeciālisti ikdienā strādā izmantojot standartus un būvspeciālistiem standarti ir pieejami par ikgadēju abonēšanas maksu 30 eiro apmērā (atbilstoši Ministru kabineta 2018.gada 20.marta noteikumu Nr. 169 “</w:t>
            </w:r>
            <w:r w:rsidRPr="00AB4B48">
              <w:t>Būvspeciālistu kompetences novērtēšanas un patstāvīgās prakses uzraudzības noteikumi</w:t>
            </w:r>
            <w:r>
              <w:t xml:space="preserve">” </w:t>
            </w:r>
            <w:r w:rsidRPr="00AB4B48">
              <w:t>65.2.2.</w:t>
            </w:r>
            <w:r>
              <w:t>apakšpunktu), līdz ar to atsevišķu specifisku lietu tūlītēja nezināšana nevar būt par pamatu uzskatīt, ka tiltu jomas būvspeciālistiem nebūtu kompetence attiecībā uz estakādes tipa piestātnēm, jo specifiskos tehniskos risinājumus ir iespējams izstrādāt izmantojot standartus, vadlīnijas u.c. tehnisko dokumentāciju, kuru izmanto arī paši ostu un jūras hidrotehnisko būvju būvspeciālisti.</w:t>
            </w:r>
          </w:p>
          <w:p w14:paraId="48E9E2F8" w14:textId="77777777" w:rsidR="000D0833" w:rsidRDefault="000D0833" w:rsidP="000D0833"/>
          <w:p w14:paraId="4FB51C6F" w14:textId="77777777" w:rsidR="000D0833" w:rsidRDefault="000D0833" w:rsidP="000D0833">
            <w:r>
              <w:t xml:space="preserve">Papildus norādām, ka šobrīd būvprakses sertifikāts ostu un jūras hidrotehnisko būvju projektēšanā </w:t>
            </w:r>
            <w:r>
              <w:lastRenderedPageBreak/>
              <w:t xml:space="preserve">ir 20 būvspeciālistiem, no kuriem 9 ir ēku būvinženiera kvalifikācija, 4 ir transportbūvju būvinženiera kvalifikācija un tikai 7 ir ar hidrotehnisko būvju kvalifikāciju un ostu un jūras hidrotehnisko būvju būvdarbu vadīšanā un būvuzraudzībā būvprakses sertifikāts ir 108 būvspeciālistiem no kuriem 51 ir ēku būvinženiera kvalifikācija, 15 ir transportbūvju būvinženiera kvalifikācija un tikai 28 ir ar hidrotehnisko būvju kvalifikāciju (14 ir ar citu kvalifikāciju). Līdz ar to tiltu jomas būvspeciālisti, kuriem arī iegūtā kvalifikācija ir transportbūvju būvinženieris vai ēku būvinženieris ir ar pietiekošu zināšanu bāzi lai projektētu un būvētu estakādes tipa piestātnes, ko apliecina iegūtā kvalifikācija un esošā prakse, kurā ostu un jūras hidrotehnisko būvju jomu plaši pārstāv arī ēku un transportbūvju būvinženieri. </w:t>
            </w:r>
          </w:p>
          <w:p w14:paraId="7210AE14" w14:textId="77777777" w:rsidR="000D0833" w:rsidRDefault="000D0833" w:rsidP="000D0833"/>
          <w:p w14:paraId="04F33AB8" w14:textId="77777777" w:rsidR="000D0833" w:rsidRDefault="000D0833" w:rsidP="000D0833">
            <w:r>
              <w:lastRenderedPageBreak/>
              <w:t>Ņemot vērā minēto uzskatam, ka tiltu jomas būvspeciālisti atbilstoši savai kompetencei var veikt arī estakādes tipa iekšzemes ūdens piestātņu projektēšanu, būvdarbu vadīšanu un būvuzraudzību kā arī būvprojektu un būvju ekspertīzi.</w:t>
            </w:r>
          </w:p>
          <w:p w14:paraId="3FAE2F6D" w14:textId="53AE72D4" w:rsidR="00E91541" w:rsidRDefault="00E91541" w:rsidP="00E11199">
            <w:pPr>
              <w:jc w:val="left"/>
            </w:pPr>
          </w:p>
        </w:tc>
      </w:tr>
    </w:tbl>
    <w:p w14:paraId="2367CEFD" w14:textId="77777777" w:rsidR="0003249B" w:rsidRDefault="0003249B"/>
    <w:tbl>
      <w:tblPr>
        <w:tblStyle w:val="a"/>
        <w:tblW w:w="14567" w:type="dxa"/>
        <w:tblLayout w:type="fixed"/>
        <w:tblLook w:val="0600" w:firstRow="0" w:lastRow="0" w:firstColumn="0" w:lastColumn="0" w:noHBand="1" w:noVBand="1"/>
      </w:tblPr>
      <w:tblGrid>
        <w:gridCol w:w="4855"/>
        <w:gridCol w:w="4856"/>
        <w:gridCol w:w="4856"/>
      </w:tblGrid>
      <w:tr w:rsidR="0003249B" w14:paraId="326F0BB0" w14:textId="77777777">
        <w:tc>
          <w:tcPr>
            <w:tcW w:w="4855" w:type="dxa"/>
            <w:shd w:val="clear" w:color="auto" w:fill="FFFFFF"/>
            <w:noWrap/>
            <w:tcMar>
              <w:top w:w="75" w:type="dxa"/>
              <w:left w:w="75" w:type="dxa"/>
              <w:bottom w:w="75" w:type="dxa"/>
              <w:right w:w="75" w:type="dxa"/>
            </w:tcMar>
            <w:vAlign w:val="center"/>
          </w:tcPr>
          <w:p w14:paraId="607C87C4" w14:textId="77777777" w:rsidR="0003249B" w:rsidRDefault="00000000">
            <w:pPr>
              <w:jc w:val="left"/>
            </w:pPr>
            <w:r>
              <w:t>Datums**</w:t>
            </w:r>
          </w:p>
        </w:tc>
        <w:tc>
          <w:tcPr>
            <w:tcW w:w="4856" w:type="dxa"/>
            <w:shd w:val="clear" w:color="auto" w:fill="FFFFFF"/>
            <w:noWrap/>
            <w:tcMar>
              <w:top w:w="75" w:type="dxa"/>
              <w:left w:w="75" w:type="dxa"/>
              <w:bottom w:w="75" w:type="dxa"/>
              <w:right w:w="75" w:type="dxa"/>
            </w:tcMar>
            <w:vAlign w:val="center"/>
          </w:tcPr>
          <w:p w14:paraId="24714B76" w14:textId="14671D54" w:rsidR="0003249B" w:rsidRDefault="008662FF">
            <w:pPr>
              <w:pBdr>
                <w:bottom w:val="single" w:sz="10" w:space="1" w:color="000000"/>
              </w:pBdr>
            </w:pPr>
            <w:r>
              <w:t>18.12.2024.</w:t>
            </w:r>
          </w:p>
        </w:tc>
        <w:tc>
          <w:tcPr>
            <w:tcW w:w="4856" w:type="dxa"/>
            <w:shd w:val="clear" w:color="auto" w:fill="FFFFFF"/>
            <w:noWrap/>
            <w:tcMar>
              <w:top w:w="75" w:type="dxa"/>
              <w:left w:w="75" w:type="dxa"/>
              <w:bottom w:w="75" w:type="dxa"/>
              <w:right w:w="75" w:type="dxa"/>
            </w:tcMar>
            <w:vAlign w:val="center"/>
          </w:tcPr>
          <w:p w14:paraId="2968BEDE" w14:textId="77777777" w:rsidR="0003249B" w:rsidRDefault="0003249B"/>
        </w:tc>
      </w:tr>
      <w:tr w:rsidR="0003249B" w14:paraId="78E8EC9C" w14:textId="77777777">
        <w:tc>
          <w:tcPr>
            <w:tcW w:w="4855" w:type="dxa"/>
            <w:shd w:val="clear" w:color="auto" w:fill="FFFFFF"/>
            <w:noWrap/>
            <w:tcMar>
              <w:top w:w="75" w:type="dxa"/>
              <w:left w:w="75" w:type="dxa"/>
              <w:bottom w:w="75" w:type="dxa"/>
              <w:right w:w="75" w:type="dxa"/>
            </w:tcMar>
            <w:vAlign w:val="center"/>
          </w:tcPr>
          <w:p w14:paraId="69202BE3" w14:textId="77777777" w:rsidR="0003249B" w:rsidRDefault="0003249B"/>
        </w:tc>
        <w:tc>
          <w:tcPr>
            <w:tcW w:w="4856" w:type="dxa"/>
            <w:shd w:val="clear" w:color="auto" w:fill="FFFFFF"/>
            <w:noWrap/>
            <w:tcMar>
              <w:top w:w="75" w:type="dxa"/>
              <w:left w:w="75" w:type="dxa"/>
              <w:bottom w:w="75" w:type="dxa"/>
              <w:right w:w="75" w:type="dxa"/>
            </w:tcMar>
            <w:vAlign w:val="center"/>
          </w:tcPr>
          <w:p w14:paraId="12409236" w14:textId="77777777" w:rsidR="0003249B" w:rsidRDefault="00000000">
            <w:pPr>
              <w:jc w:val="center"/>
            </w:pPr>
            <w:r>
              <w:t>(</w:t>
            </w:r>
            <w:proofErr w:type="spellStart"/>
            <w:r>
              <w:t>dd.mm.gggg</w:t>
            </w:r>
            <w:proofErr w:type="spellEnd"/>
            <w:r>
              <w:t>)</w:t>
            </w:r>
          </w:p>
        </w:tc>
        <w:tc>
          <w:tcPr>
            <w:tcW w:w="4856" w:type="dxa"/>
            <w:shd w:val="clear" w:color="auto" w:fill="FFFFFF"/>
            <w:noWrap/>
            <w:tcMar>
              <w:top w:w="75" w:type="dxa"/>
              <w:left w:w="75" w:type="dxa"/>
              <w:bottom w:w="75" w:type="dxa"/>
              <w:right w:w="75" w:type="dxa"/>
            </w:tcMar>
            <w:vAlign w:val="center"/>
          </w:tcPr>
          <w:p w14:paraId="5235E6ED" w14:textId="77777777" w:rsidR="0003249B" w:rsidRDefault="0003249B"/>
        </w:tc>
      </w:tr>
      <w:tr w:rsidR="0003249B" w14:paraId="2D5879D9" w14:textId="77777777">
        <w:tc>
          <w:tcPr>
            <w:tcW w:w="4855" w:type="dxa"/>
            <w:shd w:val="clear" w:color="auto" w:fill="FFFFFF"/>
            <w:noWrap/>
            <w:tcMar>
              <w:top w:w="75" w:type="dxa"/>
              <w:left w:w="75" w:type="dxa"/>
              <w:bottom w:w="75" w:type="dxa"/>
              <w:right w:w="75" w:type="dxa"/>
            </w:tcMar>
            <w:vAlign w:val="center"/>
          </w:tcPr>
          <w:p w14:paraId="1ACA06B3" w14:textId="77777777" w:rsidR="0003249B" w:rsidRDefault="00000000">
            <w:pPr>
              <w:jc w:val="left"/>
            </w:pPr>
            <w:r>
              <w:t>Atbildīgā persona</w:t>
            </w:r>
          </w:p>
        </w:tc>
        <w:tc>
          <w:tcPr>
            <w:tcW w:w="4856" w:type="dxa"/>
            <w:shd w:val="clear" w:color="auto" w:fill="FFFFFF"/>
            <w:noWrap/>
            <w:tcMar>
              <w:top w:w="75" w:type="dxa"/>
              <w:left w:w="75" w:type="dxa"/>
              <w:bottom w:w="75" w:type="dxa"/>
              <w:right w:w="75" w:type="dxa"/>
            </w:tcMar>
            <w:vAlign w:val="center"/>
          </w:tcPr>
          <w:p w14:paraId="536FB567" w14:textId="796B0576" w:rsidR="0003249B" w:rsidRDefault="008662FF">
            <w:pPr>
              <w:pBdr>
                <w:bottom w:val="single" w:sz="10" w:space="1" w:color="000000"/>
              </w:pBdr>
            </w:pPr>
            <w:r>
              <w:t>Gusts Sproģis</w:t>
            </w:r>
          </w:p>
        </w:tc>
        <w:tc>
          <w:tcPr>
            <w:tcW w:w="4856" w:type="dxa"/>
            <w:shd w:val="clear" w:color="auto" w:fill="FFFFFF"/>
            <w:noWrap/>
            <w:tcMar>
              <w:top w:w="75" w:type="dxa"/>
              <w:left w:w="75" w:type="dxa"/>
              <w:bottom w:w="75" w:type="dxa"/>
              <w:right w:w="75" w:type="dxa"/>
            </w:tcMar>
            <w:vAlign w:val="center"/>
          </w:tcPr>
          <w:p w14:paraId="7F8F08FB" w14:textId="77777777" w:rsidR="0003249B" w:rsidRDefault="0003249B"/>
        </w:tc>
      </w:tr>
      <w:tr w:rsidR="0003249B" w14:paraId="6FAECAE6" w14:textId="77777777">
        <w:tc>
          <w:tcPr>
            <w:tcW w:w="4855" w:type="dxa"/>
            <w:shd w:val="clear" w:color="auto" w:fill="FFFFFF"/>
            <w:noWrap/>
            <w:tcMar>
              <w:top w:w="75" w:type="dxa"/>
              <w:left w:w="75" w:type="dxa"/>
              <w:bottom w:w="75" w:type="dxa"/>
              <w:right w:w="75" w:type="dxa"/>
            </w:tcMar>
            <w:vAlign w:val="center"/>
          </w:tcPr>
          <w:p w14:paraId="36474CA1" w14:textId="77777777" w:rsidR="0003249B" w:rsidRDefault="0003249B"/>
        </w:tc>
        <w:tc>
          <w:tcPr>
            <w:tcW w:w="4856" w:type="dxa"/>
            <w:shd w:val="clear" w:color="auto" w:fill="FFFFFF"/>
            <w:noWrap/>
            <w:tcMar>
              <w:top w:w="75" w:type="dxa"/>
              <w:left w:w="75" w:type="dxa"/>
              <w:bottom w:w="75" w:type="dxa"/>
              <w:right w:w="75" w:type="dxa"/>
            </w:tcMar>
            <w:vAlign w:val="center"/>
          </w:tcPr>
          <w:p w14:paraId="68538B50" w14:textId="77777777" w:rsidR="0003249B" w:rsidRDefault="00000000">
            <w:pPr>
              <w:jc w:val="center"/>
            </w:pPr>
            <w:r>
              <w:t>(vārds, uzvārds, paraksts**)</w:t>
            </w:r>
          </w:p>
        </w:tc>
        <w:tc>
          <w:tcPr>
            <w:tcW w:w="4856" w:type="dxa"/>
            <w:shd w:val="clear" w:color="auto" w:fill="FFFFFF"/>
            <w:noWrap/>
            <w:tcMar>
              <w:top w:w="75" w:type="dxa"/>
              <w:left w:w="75" w:type="dxa"/>
              <w:bottom w:w="75" w:type="dxa"/>
              <w:right w:w="75" w:type="dxa"/>
            </w:tcMar>
            <w:vAlign w:val="center"/>
          </w:tcPr>
          <w:p w14:paraId="68145932" w14:textId="77777777" w:rsidR="0003249B" w:rsidRDefault="0003249B"/>
        </w:tc>
      </w:tr>
    </w:tbl>
    <w:p w14:paraId="1FAABD70" w14:textId="77777777" w:rsidR="0003249B" w:rsidRDefault="0003249B"/>
    <w:p w14:paraId="74322A1B" w14:textId="77777777" w:rsidR="0003249B" w:rsidRDefault="00000000">
      <w:r>
        <w:t>Piezīmes.</w:t>
      </w:r>
    </w:p>
    <w:p w14:paraId="43864565" w14:textId="77777777" w:rsidR="0003249B" w:rsidRDefault="00000000">
      <w:r>
        <w:t>* Iesniedzējs (fiziskai personai – vārds, uzvārds, juridiskai personai – nosaukums) var tikt publiskots, ja viņš tam ir piekritis. Ja attiecināms, iesniedzējs norāda interešu pārstāvja reģistrācijas numuru.</w:t>
      </w:r>
    </w:p>
    <w:p w14:paraId="112109A3" w14:textId="77777777" w:rsidR="0003249B" w:rsidRDefault="00000000">
      <w:r>
        <w:t>** Dokumenta rekvizītus "datums" un "paraksts" neaizpilda, ja elektroniskais dokuments ir sagatavots atbilstoši normatīvajiem aktiem par elektronisko dokumentu noformēšanu.</w:t>
      </w:r>
    </w:p>
    <w:p w14:paraId="58EE2479" w14:textId="77777777" w:rsidR="00E91541" w:rsidRDefault="00E91541"/>
    <w:sectPr w:rsidR="00E91541">
      <w:headerReference w:type="default" r:id="rId7"/>
      <w:footerReference w:type="default" r:id="rId8"/>
      <w:headerReference w:type="first" r:id="rId9"/>
      <w:footerReference w:type="first" r:id="rId10"/>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3BE0B" w14:textId="77777777" w:rsidR="008B4979" w:rsidRDefault="008B4979">
      <w:r>
        <w:separator/>
      </w:r>
    </w:p>
  </w:endnote>
  <w:endnote w:type="continuationSeparator" w:id="0">
    <w:p w14:paraId="2AE5D424" w14:textId="77777777" w:rsidR="008B4979" w:rsidRDefault="008B4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8DB83" w14:textId="77777777" w:rsidR="0003249B" w:rsidRDefault="00000000">
    <w:pPr>
      <w:jc w:val="right"/>
    </w:pPr>
    <w:r>
      <w:rPr>
        <w:sz w:val="24"/>
        <w:szCs w:val="24"/>
      </w:rPr>
      <w:fldChar w:fldCharType="begin"/>
    </w:r>
    <w:r>
      <w:rPr>
        <w:sz w:val="24"/>
        <w:szCs w:val="24"/>
      </w:rPr>
      <w:instrText>PAGE</w:instrText>
    </w:r>
    <w:r>
      <w:rPr>
        <w:sz w:val="24"/>
        <w:szCs w:val="24"/>
      </w:rPr>
      <w:fldChar w:fldCharType="separate"/>
    </w:r>
    <w:r w:rsidR="006D2041">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E96C2" w14:textId="77777777" w:rsidR="00D8475C" w:rsidRDefault="00000000">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8092FE" w14:textId="77777777" w:rsidR="008B4979" w:rsidRDefault="008B4979">
      <w:r>
        <w:separator/>
      </w:r>
    </w:p>
  </w:footnote>
  <w:footnote w:type="continuationSeparator" w:id="0">
    <w:p w14:paraId="185C2A76" w14:textId="77777777" w:rsidR="008B4979" w:rsidRDefault="008B49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D275C" w14:textId="77777777" w:rsidR="0003249B" w:rsidRDefault="00000000">
    <w:pPr>
      <w:pStyle w:val="Header"/>
      <w:contextualSpacing w:val="0"/>
    </w:pPr>
    <w:r>
      <w:t>Viedokļu pārskats 24-TA-1365</w:t>
    </w:r>
    <w:r>
      <w:br/>
      <w:t>Izdrukāts 18.12.2024. 16.07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41E31" w14:textId="77777777" w:rsidR="0003249B" w:rsidRDefault="00000000">
    <w:pPr>
      <w:pStyle w:val="Header"/>
      <w:contextualSpacing w:val="0"/>
    </w:pPr>
    <w:r>
      <w:t>Viedokļu pārskats 24-TA-1365</w:t>
    </w:r>
    <w:r>
      <w:br/>
      <w:t>Izdrukāts 18.12.2024. 16.07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663120"/>
    <w:multiLevelType w:val="hybridMultilevel"/>
    <w:tmpl w:val="7368D30A"/>
    <w:lvl w:ilvl="0" w:tplc="AAEA4ABE">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226601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49B"/>
    <w:rsid w:val="0003249B"/>
    <w:rsid w:val="000D0833"/>
    <w:rsid w:val="00122172"/>
    <w:rsid w:val="001843E9"/>
    <w:rsid w:val="0019290F"/>
    <w:rsid w:val="002D7F6F"/>
    <w:rsid w:val="004C36D1"/>
    <w:rsid w:val="005131FE"/>
    <w:rsid w:val="005848CA"/>
    <w:rsid w:val="005B4938"/>
    <w:rsid w:val="006D2041"/>
    <w:rsid w:val="006F7AC3"/>
    <w:rsid w:val="008662FF"/>
    <w:rsid w:val="008B4979"/>
    <w:rsid w:val="00AB4B48"/>
    <w:rsid w:val="00B3514C"/>
    <w:rsid w:val="00CC07D5"/>
    <w:rsid w:val="00CF01D9"/>
    <w:rsid w:val="00D21D91"/>
    <w:rsid w:val="00D67B20"/>
    <w:rsid w:val="00D8475C"/>
    <w:rsid w:val="00E11199"/>
    <w:rsid w:val="00E91541"/>
    <w:rsid w:val="00FB769F"/>
    <w:rsid w:val="00FE447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F3562"/>
  <w15:docId w15:val="{D351015A-1BEB-4177-A198-0497B7E47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pPr>
      <w:spacing w:after="280"/>
      <w:contextualSpacing/>
      <w:jc w:val="right"/>
    </w:pPr>
    <w:rPr>
      <w:sz w:val="24"/>
    </w:rPr>
  </w:style>
  <w:style w:type="paragraph" w:customStyle="1" w:styleId="signeddocumentparagraph">
    <w:name w:val="signed_document_paragraph"/>
    <w:basedOn w:val="Normal"/>
    <w:next w:val="Normal"/>
    <w:pPr>
      <w:contextualSpacing/>
      <w:jc w:val="right"/>
    </w:pPr>
    <w:rPr>
      <w:sz w:val="24"/>
    </w:rPr>
  </w:style>
  <w:style w:type="paragraph" w:customStyle="1" w:styleId="boldparagraphheader">
    <w:name w:val="bold_paragraph_header"/>
    <w:basedOn w:val="Normal"/>
    <w:next w:val="Normal"/>
    <w:pPr>
      <w:contextualSpacing/>
      <w:jc w:val="center"/>
    </w:pPr>
    <w:rPr>
      <w:b/>
    </w:rPr>
  </w:style>
  <w:style w:type="table" w:customStyle="1" w:styleId="a">
    <w:basedOn w:val="TableNormal"/>
    <w:tblPr>
      <w:tblStyleRowBandSize w:val="1"/>
      <w:tblStyleColBandSize w:val="1"/>
    </w:tblPr>
  </w:style>
  <w:style w:type="paragraph" w:styleId="NoSpacing">
    <w:name w:val="No Spacing"/>
    <w:uiPriority w:val="1"/>
    <w:qFormat/>
    <w:rsid w:val="00E91541"/>
    <w:pPr>
      <w:suppressAutoHyphens/>
      <w:jc w:val="left"/>
    </w:pPr>
    <w:rPr>
      <w:color w:val="auto"/>
      <w:sz w:val="24"/>
      <w:szCs w:val="24"/>
      <w:lang w:val="en-GB" w:eastAsia="zh-CN"/>
    </w:rPr>
  </w:style>
  <w:style w:type="paragraph" w:styleId="ListParagraph">
    <w:name w:val="List Paragraph"/>
    <w:aliases w:val="2,Bullet list,Colorful List - Accent 12,Dot pt,H&amp;P List Paragraph,Indicator Text,List Paragraph1,No Spacing1,Normal bullet 2,Numbered Para 1,Numurets,PPS_Bullet,Saistīto dokumentu saraksts,Saraksta rindkopa1,Strip,Syle 1,Virsraksti,lp"/>
    <w:basedOn w:val="Normal"/>
    <w:link w:val="ListParagraphChar"/>
    <w:uiPriority w:val="34"/>
    <w:qFormat/>
    <w:rsid w:val="00E91541"/>
    <w:pPr>
      <w:suppressAutoHyphens/>
      <w:ind w:left="720"/>
      <w:contextualSpacing/>
      <w:jc w:val="left"/>
    </w:pPr>
    <w:rPr>
      <w:color w:val="auto"/>
      <w:sz w:val="24"/>
      <w:szCs w:val="24"/>
      <w:lang w:eastAsia="zh-CN"/>
    </w:rPr>
  </w:style>
  <w:style w:type="character" w:customStyle="1" w:styleId="ListParagraphChar">
    <w:name w:val="List Paragraph Char"/>
    <w:aliases w:val="2 Char,Bullet list Char,Colorful List - Accent 12 Char,Dot pt Char,H&amp;P List Paragraph Char,Indicator Text Char,List Paragraph1 Char,No Spacing1 Char,Normal bullet 2 Char,Numbered Para 1 Char,Numurets Char,PPS_Bullet Char,Strip Char"/>
    <w:link w:val="ListParagraph"/>
    <w:qFormat/>
    <w:locked/>
    <w:rsid w:val="00E91541"/>
    <w:rPr>
      <w:color w:val="auto"/>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22912">
      <w:bodyDiv w:val="1"/>
      <w:marLeft w:val="0"/>
      <w:marRight w:val="0"/>
      <w:marTop w:val="0"/>
      <w:marBottom w:val="0"/>
      <w:divBdr>
        <w:top w:val="none" w:sz="0" w:space="0" w:color="auto"/>
        <w:left w:val="none" w:sz="0" w:space="0" w:color="auto"/>
        <w:bottom w:val="none" w:sz="0" w:space="0" w:color="auto"/>
        <w:right w:val="none" w:sz="0" w:space="0" w:color="auto"/>
      </w:divBdr>
    </w:div>
    <w:div w:id="130444323">
      <w:bodyDiv w:val="1"/>
      <w:marLeft w:val="0"/>
      <w:marRight w:val="0"/>
      <w:marTop w:val="0"/>
      <w:marBottom w:val="0"/>
      <w:divBdr>
        <w:top w:val="none" w:sz="0" w:space="0" w:color="auto"/>
        <w:left w:val="none" w:sz="0" w:space="0" w:color="auto"/>
        <w:bottom w:val="none" w:sz="0" w:space="0" w:color="auto"/>
        <w:right w:val="none" w:sz="0" w:space="0" w:color="auto"/>
      </w:divBdr>
    </w:div>
    <w:div w:id="150486285">
      <w:bodyDiv w:val="1"/>
      <w:marLeft w:val="0"/>
      <w:marRight w:val="0"/>
      <w:marTop w:val="0"/>
      <w:marBottom w:val="0"/>
      <w:divBdr>
        <w:top w:val="none" w:sz="0" w:space="0" w:color="auto"/>
        <w:left w:val="none" w:sz="0" w:space="0" w:color="auto"/>
        <w:bottom w:val="none" w:sz="0" w:space="0" w:color="auto"/>
        <w:right w:val="none" w:sz="0" w:space="0" w:color="auto"/>
      </w:divBdr>
    </w:div>
    <w:div w:id="240532638">
      <w:bodyDiv w:val="1"/>
      <w:marLeft w:val="0"/>
      <w:marRight w:val="0"/>
      <w:marTop w:val="0"/>
      <w:marBottom w:val="0"/>
      <w:divBdr>
        <w:top w:val="none" w:sz="0" w:space="0" w:color="auto"/>
        <w:left w:val="none" w:sz="0" w:space="0" w:color="auto"/>
        <w:bottom w:val="none" w:sz="0" w:space="0" w:color="auto"/>
        <w:right w:val="none" w:sz="0" w:space="0" w:color="auto"/>
      </w:divBdr>
    </w:div>
    <w:div w:id="369765610">
      <w:bodyDiv w:val="1"/>
      <w:marLeft w:val="0"/>
      <w:marRight w:val="0"/>
      <w:marTop w:val="0"/>
      <w:marBottom w:val="0"/>
      <w:divBdr>
        <w:top w:val="none" w:sz="0" w:space="0" w:color="auto"/>
        <w:left w:val="none" w:sz="0" w:space="0" w:color="auto"/>
        <w:bottom w:val="none" w:sz="0" w:space="0" w:color="auto"/>
        <w:right w:val="none" w:sz="0" w:space="0" w:color="auto"/>
      </w:divBdr>
    </w:div>
    <w:div w:id="383523381">
      <w:bodyDiv w:val="1"/>
      <w:marLeft w:val="0"/>
      <w:marRight w:val="0"/>
      <w:marTop w:val="0"/>
      <w:marBottom w:val="0"/>
      <w:divBdr>
        <w:top w:val="none" w:sz="0" w:space="0" w:color="auto"/>
        <w:left w:val="none" w:sz="0" w:space="0" w:color="auto"/>
        <w:bottom w:val="none" w:sz="0" w:space="0" w:color="auto"/>
        <w:right w:val="none" w:sz="0" w:space="0" w:color="auto"/>
      </w:divBdr>
    </w:div>
    <w:div w:id="583339515">
      <w:bodyDiv w:val="1"/>
      <w:marLeft w:val="0"/>
      <w:marRight w:val="0"/>
      <w:marTop w:val="0"/>
      <w:marBottom w:val="0"/>
      <w:divBdr>
        <w:top w:val="none" w:sz="0" w:space="0" w:color="auto"/>
        <w:left w:val="none" w:sz="0" w:space="0" w:color="auto"/>
        <w:bottom w:val="none" w:sz="0" w:space="0" w:color="auto"/>
        <w:right w:val="none" w:sz="0" w:space="0" w:color="auto"/>
      </w:divBdr>
    </w:div>
    <w:div w:id="641082812">
      <w:bodyDiv w:val="1"/>
      <w:marLeft w:val="0"/>
      <w:marRight w:val="0"/>
      <w:marTop w:val="0"/>
      <w:marBottom w:val="0"/>
      <w:divBdr>
        <w:top w:val="none" w:sz="0" w:space="0" w:color="auto"/>
        <w:left w:val="none" w:sz="0" w:space="0" w:color="auto"/>
        <w:bottom w:val="none" w:sz="0" w:space="0" w:color="auto"/>
        <w:right w:val="none" w:sz="0" w:space="0" w:color="auto"/>
      </w:divBdr>
    </w:div>
    <w:div w:id="1110390487">
      <w:bodyDiv w:val="1"/>
      <w:marLeft w:val="0"/>
      <w:marRight w:val="0"/>
      <w:marTop w:val="0"/>
      <w:marBottom w:val="0"/>
      <w:divBdr>
        <w:top w:val="none" w:sz="0" w:space="0" w:color="auto"/>
        <w:left w:val="none" w:sz="0" w:space="0" w:color="auto"/>
        <w:bottom w:val="none" w:sz="0" w:space="0" w:color="auto"/>
        <w:right w:val="none" w:sz="0" w:space="0" w:color="auto"/>
      </w:divBdr>
    </w:div>
    <w:div w:id="1125275433">
      <w:bodyDiv w:val="1"/>
      <w:marLeft w:val="0"/>
      <w:marRight w:val="0"/>
      <w:marTop w:val="0"/>
      <w:marBottom w:val="0"/>
      <w:divBdr>
        <w:top w:val="none" w:sz="0" w:space="0" w:color="auto"/>
        <w:left w:val="none" w:sz="0" w:space="0" w:color="auto"/>
        <w:bottom w:val="none" w:sz="0" w:space="0" w:color="auto"/>
        <w:right w:val="none" w:sz="0" w:space="0" w:color="auto"/>
      </w:divBdr>
    </w:div>
    <w:div w:id="1514371481">
      <w:bodyDiv w:val="1"/>
      <w:marLeft w:val="0"/>
      <w:marRight w:val="0"/>
      <w:marTop w:val="0"/>
      <w:marBottom w:val="0"/>
      <w:divBdr>
        <w:top w:val="none" w:sz="0" w:space="0" w:color="auto"/>
        <w:left w:val="none" w:sz="0" w:space="0" w:color="auto"/>
        <w:bottom w:val="none" w:sz="0" w:space="0" w:color="auto"/>
        <w:right w:val="none" w:sz="0" w:space="0" w:color="auto"/>
      </w:divBdr>
    </w:div>
    <w:div w:id="1648197516">
      <w:bodyDiv w:val="1"/>
      <w:marLeft w:val="0"/>
      <w:marRight w:val="0"/>
      <w:marTop w:val="0"/>
      <w:marBottom w:val="0"/>
      <w:divBdr>
        <w:top w:val="none" w:sz="0" w:space="0" w:color="auto"/>
        <w:left w:val="none" w:sz="0" w:space="0" w:color="auto"/>
        <w:bottom w:val="none" w:sz="0" w:space="0" w:color="auto"/>
        <w:right w:val="none" w:sz="0" w:space="0" w:color="auto"/>
      </w:divBdr>
    </w:div>
    <w:div w:id="1868058054">
      <w:bodyDiv w:val="1"/>
      <w:marLeft w:val="0"/>
      <w:marRight w:val="0"/>
      <w:marTop w:val="0"/>
      <w:marBottom w:val="0"/>
      <w:divBdr>
        <w:top w:val="none" w:sz="0" w:space="0" w:color="auto"/>
        <w:left w:val="none" w:sz="0" w:space="0" w:color="auto"/>
        <w:bottom w:val="none" w:sz="0" w:space="0" w:color="auto"/>
        <w:right w:val="none" w:sz="0" w:space="0" w:color="auto"/>
      </w:divBdr>
    </w:div>
    <w:div w:id="1899629014">
      <w:bodyDiv w:val="1"/>
      <w:marLeft w:val="0"/>
      <w:marRight w:val="0"/>
      <w:marTop w:val="0"/>
      <w:marBottom w:val="0"/>
      <w:divBdr>
        <w:top w:val="none" w:sz="0" w:space="0" w:color="auto"/>
        <w:left w:val="none" w:sz="0" w:space="0" w:color="auto"/>
        <w:bottom w:val="none" w:sz="0" w:space="0" w:color="auto"/>
        <w:right w:val="none" w:sz="0" w:space="0" w:color="auto"/>
      </w:divBdr>
    </w:div>
    <w:div w:id="1906601158">
      <w:bodyDiv w:val="1"/>
      <w:marLeft w:val="0"/>
      <w:marRight w:val="0"/>
      <w:marTop w:val="0"/>
      <w:marBottom w:val="0"/>
      <w:divBdr>
        <w:top w:val="none" w:sz="0" w:space="0" w:color="auto"/>
        <w:left w:val="none" w:sz="0" w:space="0" w:color="auto"/>
        <w:bottom w:val="none" w:sz="0" w:space="0" w:color="auto"/>
        <w:right w:val="none" w:sz="0" w:space="0" w:color="auto"/>
      </w:divBdr>
    </w:div>
    <w:div w:id="19673521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111</TotalTime>
  <Pages>17</Pages>
  <Words>18055</Words>
  <Characters>10292</Characters>
  <Application>Microsoft Office Word</Application>
  <DocSecurity>0</DocSecurity>
  <Lines>85</Lines>
  <Paragraphs>56</Paragraphs>
  <ScaleCrop>false</ScaleCrop>
  <HeadingPairs>
    <vt:vector size="2" baseType="variant">
      <vt:variant>
        <vt:lpstr>Title</vt:lpstr>
      </vt:variant>
      <vt:variant>
        <vt:i4>1</vt:i4>
      </vt:variant>
    </vt:vector>
  </HeadingPairs>
  <TitlesOfParts>
    <vt:vector size="1" baseType="lpstr">
      <vt:lpstr>viedoklu_parskats_24-TA-1365.docx</vt:lpstr>
    </vt:vector>
  </TitlesOfParts>
  <Company/>
  <LinksUpToDate>false</LinksUpToDate>
  <CharactersWithSpaces>28291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viedoklu_parskats_24-TA-1365.docx</dc:title>
  <dc:creator>Gusts Sproģis</dc:creator>
  <cp:lastModifiedBy>Gusts Sproģis</cp:lastModifiedBy>
  <cp:revision>10</cp:revision>
  <dcterms:created xsi:type="dcterms:W3CDTF">2025-01-24T12:27:00Z</dcterms:created>
  <dcterms:modified xsi:type="dcterms:W3CDTF">2025-02-07T09:55:00Z</dcterms:modified>
</cp:coreProperties>
</file>