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E885E95" w14:textId="18DC97DD" w:rsidR="00A1173E" w:rsidRDefault="00841E3C">
      <w:pPr>
        <w:spacing w:after="240"/>
        <w:jc w:val="center"/>
        <w:rPr>
          <w:b/>
        </w:rPr>
      </w:pPr>
      <w:r>
        <w:rPr>
          <w:b/>
        </w:rPr>
        <w:t>“Publiskās apspriešanas laikā 14.05.2026. - 28.05.2026. saņemto viedokļu, priekšlikumu un iebildumu apkopojums par Grozījums Ministru kabineta 2000. gada 26. septembra noteikumos Nr.</w:t>
      </w:r>
      <w:r>
        <w:rPr>
          <w:b/>
        </w:rPr>
        <w:t>330 "Vakcinācijas noteikumi"”</w:t>
      </w:r>
    </w:p>
    <w:tbl>
      <w:tblPr>
        <w:tblStyle w:val="a"/>
        <w:tblW w:w="14567"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CellMar>
          <w:top w:w="0" w:type="dxa"/>
          <w:left w:w="0" w:type="dxa"/>
          <w:bottom w:w="0" w:type="dxa"/>
          <w:right w:w="0" w:type="dxa"/>
        </w:tblCellMar>
        <w:tblLook w:val="0600" w:firstRow="0" w:lastRow="0" w:firstColumn="0" w:lastColumn="0" w:noHBand="1" w:noVBand="1"/>
      </w:tblPr>
      <w:tblGrid>
        <w:gridCol w:w="750"/>
        <w:gridCol w:w="2302"/>
        <w:gridCol w:w="4253"/>
        <w:gridCol w:w="1559"/>
        <w:gridCol w:w="5703"/>
      </w:tblGrid>
      <w:tr w:rsidR="00A1173E" w14:paraId="3E885E9B" w14:textId="77777777" w:rsidTr="00707716">
        <w:tblPrEx>
          <w:tblCellMar>
            <w:top w:w="0" w:type="dxa"/>
            <w:left w:w="0" w:type="dxa"/>
            <w:bottom w:w="0" w:type="dxa"/>
            <w:right w:w="0" w:type="dxa"/>
          </w:tblCellMar>
        </w:tblPrEx>
        <w:tc>
          <w:tcPr>
            <w:tcW w:w="750" w:type="dxa"/>
            <w:shd w:val="clear" w:color="auto" w:fill="FFFFFF"/>
            <w:noWrap/>
            <w:tcMar>
              <w:top w:w="75" w:type="dxa"/>
              <w:left w:w="75" w:type="dxa"/>
              <w:bottom w:w="75" w:type="dxa"/>
              <w:right w:w="75" w:type="dxa"/>
            </w:tcMar>
            <w:vAlign w:val="center"/>
          </w:tcPr>
          <w:p w14:paraId="3E885E96" w14:textId="77777777" w:rsidR="00A1173E" w:rsidRDefault="00841E3C">
            <w:pPr>
              <w:spacing w:line="240" w:lineRule="auto"/>
              <w:jc w:val="center"/>
            </w:pPr>
            <w:proofErr w:type="spellStart"/>
            <w:r>
              <w:rPr>
                <w:b/>
              </w:rPr>
              <w:t>Nr.p.k</w:t>
            </w:r>
            <w:proofErr w:type="spellEnd"/>
            <w:r>
              <w:rPr>
                <w:b/>
              </w:rPr>
              <w:t>.</w:t>
            </w:r>
          </w:p>
        </w:tc>
        <w:tc>
          <w:tcPr>
            <w:tcW w:w="2302" w:type="dxa"/>
            <w:shd w:val="clear" w:color="auto" w:fill="FFFFFF"/>
            <w:noWrap/>
            <w:tcMar>
              <w:top w:w="75" w:type="dxa"/>
              <w:left w:w="75" w:type="dxa"/>
              <w:bottom w:w="75" w:type="dxa"/>
              <w:right w:w="75" w:type="dxa"/>
            </w:tcMar>
            <w:vAlign w:val="center"/>
          </w:tcPr>
          <w:p w14:paraId="3E885E97" w14:textId="77777777" w:rsidR="00A1173E" w:rsidRDefault="00841E3C">
            <w:pPr>
              <w:spacing w:line="240" w:lineRule="auto"/>
              <w:jc w:val="center"/>
            </w:pPr>
            <w:r>
              <w:rPr>
                <w:b/>
              </w:rPr>
              <w:t>Viedokļa / priekšlikuma / iebilduma iesniedzējs*</w:t>
            </w:r>
          </w:p>
        </w:tc>
        <w:tc>
          <w:tcPr>
            <w:tcW w:w="4253" w:type="dxa"/>
            <w:shd w:val="clear" w:color="auto" w:fill="FFFFFF"/>
            <w:noWrap/>
            <w:tcMar>
              <w:top w:w="75" w:type="dxa"/>
              <w:left w:w="75" w:type="dxa"/>
              <w:bottom w:w="75" w:type="dxa"/>
              <w:right w:w="75" w:type="dxa"/>
            </w:tcMar>
            <w:vAlign w:val="center"/>
          </w:tcPr>
          <w:p w14:paraId="3E885E98" w14:textId="77777777" w:rsidR="00A1173E" w:rsidRDefault="00841E3C">
            <w:pPr>
              <w:spacing w:line="240" w:lineRule="auto"/>
              <w:jc w:val="center"/>
            </w:pPr>
            <w:r>
              <w:rPr>
                <w:b/>
              </w:rPr>
              <w:t>Iesniegtā viedokļa / priekšlikuma / iebilduma būtība</w:t>
            </w:r>
          </w:p>
        </w:tc>
        <w:tc>
          <w:tcPr>
            <w:tcW w:w="1559" w:type="dxa"/>
            <w:shd w:val="clear" w:color="auto" w:fill="FFFFFF"/>
            <w:noWrap/>
            <w:tcMar>
              <w:top w:w="75" w:type="dxa"/>
              <w:left w:w="75" w:type="dxa"/>
              <w:bottom w:w="75" w:type="dxa"/>
              <w:right w:w="75" w:type="dxa"/>
            </w:tcMar>
            <w:vAlign w:val="center"/>
          </w:tcPr>
          <w:p w14:paraId="3E885E99" w14:textId="77777777" w:rsidR="00A1173E" w:rsidRDefault="00841E3C">
            <w:pPr>
              <w:spacing w:line="240" w:lineRule="auto"/>
              <w:jc w:val="center"/>
            </w:pPr>
            <w:r>
              <w:rPr>
                <w:b/>
              </w:rPr>
              <w:t>Ņemts vērā / ņemts vērā daļēji / nav ņemts vērā</w:t>
            </w:r>
          </w:p>
        </w:tc>
        <w:tc>
          <w:tcPr>
            <w:tcW w:w="5703" w:type="dxa"/>
            <w:shd w:val="clear" w:color="auto" w:fill="FFFFFF"/>
            <w:noWrap/>
            <w:tcMar>
              <w:top w:w="75" w:type="dxa"/>
              <w:left w:w="75" w:type="dxa"/>
              <w:bottom w:w="75" w:type="dxa"/>
              <w:right w:w="75" w:type="dxa"/>
            </w:tcMar>
            <w:vAlign w:val="center"/>
          </w:tcPr>
          <w:p w14:paraId="3E885E9A" w14:textId="77777777" w:rsidR="00A1173E" w:rsidRDefault="00841E3C">
            <w:pPr>
              <w:spacing w:line="240" w:lineRule="auto"/>
              <w:jc w:val="center"/>
            </w:pPr>
            <w:r>
              <w:rPr>
                <w:b/>
              </w:rPr>
              <w:t>Skaidrojums, kādā veidā viedoklis / priekšlikums / iebildums ir ņemts vērā vai ņemts vērā daļēji, vai pamatojums, ja viedoklis / priekšlikums / iebildums nav ņemts vērā</w:t>
            </w:r>
          </w:p>
        </w:tc>
      </w:tr>
      <w:tr w:rsidR="007C50B3" w14:paraId="3E885EA1" w14:textId="77777777" w:rsidTr="00DB393D">
        <w:tblPrEx>
          <w:tblCellMar>
            <w:top w:w="0" w:type="dxa"/>
            <w:left w:w="0" w:type="dxa"/>
            <w:bottom w:w="0" w:type="dxa"/>
            <w:right w:w="0" w:type="dxa"/>
          </w:tblCellMar>
        </w:tblPrEx>
        <w:tc>
          <w:tcPr>
            <w:tcW w:w="750" w:type="dxa"/>
            <w:shd w:val="clear" w:color="auto" w:fill="FFFFFF"/>
            <w:noWrap/>
            <w:tcMar>
              <w:top w:w="75" w:type="dxa"/>
              <w:left w:w="75" w:type="dxa"/>
              <w:bottom w:w="75" w:type="dxa"/>
              <w:right w:w="75" w:type="dxa"/>
            </w:tcMar>
          </w:tcPr>
          <w:p w14:paraId="3E885E9C" w14:textId="77777777" w:rsidR="007C50B3" w:rsidRDefault="007C50B3" w:rsidP="00DB393D">
            <w:pPr>
              <w:spacing w:line="240" w:lineRule="auto"/>
              <w:jc w:val="center"/>
            </w:pPr>
            <w:r>
              <w:t>1.</w:t>
            </w:r>
          </w:p>
        </w:tc>
        <w:tc>
          <w:tcPr>
            <w:tcW w:w="2302" w:type="dxa"/>
            <w:shd w:val="clear" w:color="auto" w:fill="FFFFFF"/>
            <w:noWrap/>
            <w:tcMar>
              <w:top w:w="75" w:type="dxa"/>
              <w:left w:w="75" w:type="dxa"/>
              <w:bottom w:w="75" w:type="dxa"/>
              <w:right w:w="75" w:type="dxa"/>
            </w:tcMar>
          </w:tcPr>
          <w:p w14:paraId="3E885E9D" w14:textId="77777777" w:rsidR="007C50B3" w:rsidRDefault="007C50B3" w:rsidP="00DB393D">
            <w:pPr>
              <w:spacing w:line="240" w:lineRule="auto"/>
              <w:jc w:val="left"/>
            </w:pPr>
            <w:r>
              <w:t xml:space="preserve">Latvijas Ģimenes ārstu asociācija, Alise </w:t>
            </w:r>
            <w:proofErr w:type="spellStart"/>
            <w:r>
              <w:t>Nicmane-Aišpure</w:t>
            </w:r>
            <w:proofErr w:type="spellEnd"/>
          </w:p>
        </w:tc>
        <w:tc>
          <w:tcPr>
            <w:tcW w:w="4253" w:type="dxa"/>
            <w:shd w:val="clear" w:color="auto" w:fill="FFFFFF"/>
            <w:noWrap/>
            <w:tcMar>
              <w:top w:w="75" w:type="dxa"/>
              <w:left w:w="75" w:type="dxa"/>
              <w:bottom w:w="75" w:type="dxa"/>
              <w:right w:w="75" w:type="dxa"/>
            </w:tcMar>
            <w:vAlign w:val="center"/>
          </w:tcPr>
          <w:p w14:paraId="3E885E9E" w14:textId="77777777" w:rsidR="007C50B3" w:rsidRDefault="007C50B3" w:rsidP="007C50B3">
            <w:pPr>
              <w:spacing w:line="240" w:lineRule="auto"/>
              <w:jc w:val="left"/>
            </w:pPr>
            <w:r>
              <w:t>Biedrība "Latvijas Ģimenes ārstu asociācija" (turpmāk - LĢĀA), aptaujājot kolēģus LĢĀA valdē un vēl pāris vadošus ģimenes ārstus, kuri ir augstskolu pasniedzēji un darba grupu, vadlīniju grupu dalībnieki un ikdienā strādā daudz ar bērniem:</w:t>
            </w:r>
            <w:r>
              <w:br/>
              <w:t xml:space="preserve">ir </w:t>
            </w:r>
            <w:proofErr w:type="spellStart"/>
            <w:r>
              <w:t>viennozīmgs</w:t>
            </w:r>
            <w:proofErr w:type="spellEnd"/>
            <w:r>
              <w:t xml:space="preserve"> atbalsta trūkums 4 vakcīnu ievadei vienlaicīgi 12 </w:t>
            </w:r>
            <w:proofErr w:type="spellStart"/>
            <w:r>
              <w:t>mēnēšu</w:t>
            </w:r>
            <w:proofErr w:type="spellEnd"/>
            <w:r>
              <w:t xml:space="preserve"> vecumā. Visi kolēģi saka, ka ir PRET. </w:t>
            </w:r>
            <w:r>
              <w:br/>
              <w:t>Neredzam pamatojumu forsēt 4 vakcīnas šobrīd kā obligātos dūrienus 12 mēnešu vizītē, jo:</w:t>
            </w:r>
            <w:r>
              <w:br/>
              <w:t xml:space="preserve">1) loģiski liekas veikt 3+3 Mmr1, Var 1 un ĒE1 vakcināciju 12 </w:t>
            </w:r>
            <w:proofErr w:type="spellStart"/>
            <w:r>
              <w:t>mēn</w:t>
            </w:r>
            <w:proofErr w:type="spellEnd"/>
            <w:r>
              <w:t xml:space="preserve"> un Pcv3, Hexa4, ĒE 2 pēc 1-3 mēnešiem. Reizēm arī sezonālā </w:t>
            </w:r>
            <w:r>
              <w:lastRenderedPageBreak/>
              <w:t xml:space="preserve">gripas </w:t>
            </w:r>
            <w:proofErr w:type="spellStart"/>
            <w:r>
              <w:t>vakcina</w:t>
            </w:r>
            <w:proofErr w:type="spellEnd"/>
            <w:r>
              <w:t xml:space="preserve"> iekrīt 12 mēnešu vecumā;</w:t>
            </w:r>
            <w:r>
              <w:br/>
              <w:t xml:space="preserve">2) </w:t>
            </w:r>
            <w:proofErr w:type="spellStart"/>
            <w:r>
              <w:t>Hexa</w:t>
            </w:r>
            <w:proofErr w:type="spellEnd"/>
            <w:r>
              <w:t xml:space="preserve"> ir 4. jeb </w:t>
            </w:r>
            <w:proofErr w:type="spellStart"/>
            <w:r>
              <w:t>būsterdeva</w:t>
            </w:r>
            <w:proofErr w:type="spellEnd"/>
            <w:r>
              <w:t xml:space="preserve">, kur svarīgs 6 </w:t>
            </w:r>
            <w:proofErr w:type="spellStart"/>
            <w:r>
              <w:t>mēn</w:t>
            </w:r>
            <w:proofErr w:type="spellEnd"/>
            <w:r>
              <w:t xml:space="preserve"> intervāls starp 3. un 4. devu. Ja 3. devu nedaudz kavē, tad būtu jākavē ari 4. deva. Citur Eiropā vakcinē 2+1 nevis 3+1;</w:t>
            </w:r>
            <w:r>
              <w:br/>
              <w:t xml:space="preserve">3) šobrīd redzam priekšrocības ārstam pašam kombinēt valsts apmaksāto un valsts neapmaksāto vakcināciju, piemēram, papildus veikt </w:t>
            </w:r>
            <w:proofErr w:type="spellStart"/>
            <w:r>
              <w:t>HepA</w:t>
            </w:r>
            <w:proofErr w:type="spellEnd"/>
            <w:r>
              <w:t xml:space="preserve">, </w:t>
            </w:r>
            <w:proofErr w:type="spellStart"/>
            <w:r>
              <w:t>meningokoka</w:t>
            </w:r>
            <w:proofErr w:type="spellEnd"/>
            <w:r>
              <w:t xml:space="preserve">, ĒE vakcinācijas 12-15 </w:t>
            </w:r>
            <w:proofErr w:type="spellStart"/>
            <w:r>
              <w:t>mēn</w:t>
            </w:r>
            <w:proofErr w:type="spellEnd"/>
            <w:r>
              <w:t xml:space="preserve"> periodā;</w:t>
            </w:r>
            <w:r>
              <w:br/>
              <w:t>4) ne visi vecāki 4 dūrieniem piekrīt;</w:t>
            </w:r>
            <w:r>
              <w:br/>
              <w:t xml:space="preserve">5) </w:t>
            </w:r>
            <w:proofErr w:type="spellStart"/>
            <w:r>
              <w:t>līdzestība</w:t>
            </w:r>
            <w:proofErr w:type="spellEnd"/>
            <w:r>
              <w:t xml:space="preserve"> vakcinācijai ir pāri forsētai ievadei (kolēģiem piemēri, kad pēc 4 saņemtām vakcīnām bērnam BKUS, atteicās no turpmākās jebkādas);</w:t>
            </w:r>
            <w:r>
              <w:br/>
              <w:t>6) noteikti nebūtu saistāms ar kvalitātes kritērijiem, ja kalendāru pielāgo pat situācijā, ja pieņemtu 12 mēnešu vecuma veikt 4 vakcīnas, kam aptaujātie visi ģimenes ārsti ir PRET.</w:t>
            </w:r>
            <w:r>
              <w:br/>
            </w:r>
            <w:r>
              <w:br/>
              <w:t xml:space="preserve">Vai ir vitāli nozīmīgs pamatojums </w:t>
            </w:r>
            <w:r>
              <w:lastRenderedPageBreak/>
              <w:t>par 4 vakcīnu ievadi, jo tādu pamatojumu neredzam?</w:t>
            </w:r>
            <w:r>
              <w:br/>
              <w:t>Tātad LĢĀA priekšlikumu ievadīt 4 vakcīnu devas 12 mēnešu vecumā noteikti neatbalsta.</w:t>
            </w:r>
            <w:r>
              <w:br/>
            </w:r>
          </w:p>
        </w:tc>
        <w:tc>
          <w:tcPr>
            <w:tcW w:w="1559" w:type="dxa"/>
            <w:shd w:val="clear" w:color="auto" w:fill="FFFFFF"/>
            <w:noWrap/>
            <w:tcMar>
              <w:top w:w="75" w:type="dxa"/>
              <w:left w:w="75" w:type="dxa"/>
              <w:bottom w:w="75" w:type="dxa"/>
              <w:right w:w="75" w:type="dxa"/>
            </w:tcMar>
          </w:tcPr>
          <w:p w14:paraId="3E885E9F" w14:textId="7BDD145E" w:rsidR="007C50B3" w:rsidRDefault="007C50B3" w:rsidP="00DB393D">
            <w:pPr>
              <w:spacing w:line="240" w:lineRule="auto"/>
              <w:jc w:val="left"/>
            </w:pPr>
            <w:r>
              <w:rPr>
                <w:b/>
              </w:rPr>
              <w:lastRenderedPageBreak/>
              <w:t>nav ņemts vērā</w:t>
            </w:r>
          </w:p>
        </w:tc>
        <w:tc>
          <w:tcPr>
            <w:tcW w:w="5703" w:type="dxa"/>
            <w:shd w:val="clear" w:color="auto" w:fill="FFFFFF"/>
            <w:noWrap/>
            <w:tcMar>
              <w:top w:w="75" w:type="dxa"/>
              <w:left w:w="75" w:type="dxa"/>
              <w:bottom w:w="75" w:type="dxa"/>
              <w:right w:w="75" w:type="dxa"/>
            </w:tcMar>
          </w:tcPr>
          <w:p w14:paraId="3C9844BB" w14:textId="77777777" w:rsidR="007C50B3" w:rsidRDefault="007C50B3" w:rsidP="007C50B3">
            <w:pPr>
              <w:spacing w:line="240" w:lineRule="auto"/>
            </w:pPr>
            <w:r>
              <w:t xml:space="preserve">Attiecībā uz </w:t>
            </w:r>
            <w:r w:rsidRPr="00707E6F">
              <w:t>Latvijas Ģimenes ārstu asociācija</w:t>
            </w:r>
            <w:r>
              <w:t>s</w:t>
            </w:r>
            <w:r w:rsidRPr="00707E6F">
              <w:t xml:space="preserve"> </w:t>
            </w:r>
            <w:r w:rsidRPr="001C4CBB">
              <w:t xml:space="preserve">(LĢĀA) </w:t>
            </w:r>
            <w:r w:rsidRPr="009D591A">
              <w:t>iebil</w:t>
            </w:r>
            <w:r>
              <w:t>dumu</w:t>
            </w:r>
            <w:r w:rsidRPr="009D591A">
              <w:t xml:space="preserve"> pret </w:t>
            </w:r>
            <w:r>
              <w:t>plānoto izmaiņu</w:t>
            </w:r>
            <w:r w:rsidRPr="009D6E9F">
              <w:t xml:space="preserve"> precizēt bērnu vakcinācijas vecumu, nosakot to</w:t>
            </w:r>
            <w:r>
              <w:t xml:space="preserve"> </w:t>
            </w:r>
            <w:r w:rsidRPr="009D591A">
              <w:t>12 mēnešu vecumā</w:t>
            </w:r>
            <w:r>
              <w:t xml:space="preserve"> (</w:t>
            </w:r>
            <w:r w:rsidRPr="001C4CBB">
              <w:t>līdzšinējā 12</w:t>
            </w:r>
            <w:r>
              <w:t>-</w:t>
            </w:r>
            <w:r w:rsidRPr="001C4CBB">
              <w:t>15 mēnešu intervāla vietā</w:t>
            </w:r>
            <w:r>
              <w:t xml:space="preserve">), Veselības ministrija sniedz šādus </w:t>
            </w:r>
            <w:r w:rsidRPr="001C4CBB">
              <w:t>pret</w:t>
            </w:r>
            <w:r>
              <w:t>argumentus:</w:t>
            </w:r>
          </w:p>
          <w:p w14:paraId="38918FF4" w14:textId="77777777" w:rsidR="007C50B3" w:rsidRPr="005E73C9" w:rsidRDefault="007C50B3" w:rsidP="007C50B3">
            <w:pPr>
              <w:pStyle w:val="Sarakstarindkopa"/>
              <w:numPr>
                <w:ilvl w:val="0"/>
                <w:numId w:val="1"/>
              </w:numPr>
              <w:spacing w:line="240" w:lineRule="auto"/>
            </w:pPr>
            <w:r>
              <w:t xml:space="preserve">Imunizācijas </w:t>
            </w:r>
            <w:r w:rsidRPr="005E73C9">
              <w:t>valsts padome un Nacionālā masalu un masaliņu eliminācijas komisija ir izteikušas priekšlikumu par vakcinācijas vecuma precizēšanu pamatojot to ar nepieciešamību nodrošināt zīdaiņiem savlaicīgu, zinātniski pamatotu un epidemioloģiski efektīvu aizsardzību pret smagām un potenciāli dzīvībai bīstamām vakcīnregulējamām infekcijām. Argumenti sniegti anotācijā.</w:t>
            </w:r>
          </w:p>
          <w:p w14:paraId="434C4B33" w14:textId="77777777" w:rsidR="007C50B3" w:rsidRDefault="007C50B3" w:rsidP="007C50B3">
            <w:pPr>
              <w:pStyle w:val="Sarakstarindkopa"/>
              <w:numPr>
                <w:ilvl w:val="0"/>
                <w:numId w:val="1"/>
              </w:numPr>
              <w:spacing w:line="240" w:lineRule="auto"/>
            </w:pPr>
            <w:r w:rsidRPr="005E73C9">
              <w:t>Līdzšinējais 12-15 mēnešu intervāls vairs nav zinātniski pamatots</w:t>
            </w:r>
            <w:r w:rsidRPr="007575D1">
              <w:t xml:space="preserve"> un tas veicina to, ka bērni netiek savlaicīgi vakcinēti</w:t>
            </w:r>
            <w:r>
              <w:t xml:space="preserve">, ko apliecina arī </w:t>
            </w:r>
            <w:r>
              <w:lastRenderedPageBreak/>
              <w:t>vakcinācijas savlaicīguma analīze</w:t>
            </w:r>
            <w:r w:rsidRPr="007575D1">
              <w:t>.</w:t>
            </w:r>
          </w:p>
          <w:p w14:paraId="60EDA8E9" w14:textId="77777777" w:rsidR="007C50B3" w:rsidRPr="00914DF3" w:rsidRDefault="007C50B3" w:rsidP="007C50B3">
            <w:pPr>
              <w:pStyle w:val="Sarakstarindkopa"/>
              <w:numPr>
                <w:ilvl w:val="0"/>
                <w:numId w:val="1"/>
              </w:numPr>
              <w:spacing w:line="240" w:lineRule="auto"/>
            </w:pPr>
            <w:r w:rsidRPr="00914DF3">
              <w:t>2026.gada masalu uzliesmojums skaidri apliecina, ka pat dažu mēnešu kavējums vakcinācijā nozīmīgi palielina saslimšanas risku un infekcijas izplatību.</w:t>
            </w:r>
          </w:p>
          <w:p w14:paraId="1875D421" w14:textId="77777777" w:rsidR="007C50B3" w:rsidRPr="005773EC" w:rsidRDefault="007C50B3" w:rsidP="007C50B3">
            <w:pPr>
              <w:pStyle w:val="Sarakstarindkopa"/>
              <w:numPr>
                <w:ilvl w:val="0"/>
                <w:numId w:val="1"/>
              </w:numPr>
              <w:spacing w:line="240" w:lineRule="auto"/>
            </w:pPr>
            <w:r>
              <w:t xml:space="preserve">Vakcinācijas </w:t>
            </w:r>
            <w:r w:rsidRPr="00650B44">
              <w:t xml:space="preserve">jomas speciālisti norāda, ka bērnu imūnā sistēma 12 mēnešu vecumā ir pietiekami nobriedusi, lai droši un efektīvi saņemtu visas </w:t>
            </w:r>
            <w:r w:rsidRPr="005773EC">
              <w:t>šajā vecumā paredzētās vakcīnas.</w:t>
            </w:r>
          </w:p>
          <w:p w14:paraId="7B57B586" w14:textId="77777777" w:rsidR="007C50B3" w:rsidRPr="005773EC" w:rsidRDefault="007C50B3" w:rsidP="007C50B3">
            <w:pPr>
              <w:pStyle w:val="Sarakstarindkopa"/>
              <w:numPr>
                <w:ilvl w:val="0"/>
                <w:numId w:val="1"/>
              </w:numPr>
              <w:spacing w:line="240" w:lineRule="auto"/>
            </w:pPr>
            <w:r w:rsidRPr="005773EC">
              <w:t>Praksē jau šobrīd lielākā daļa bērnu 12-15 mēnešu periodā tiek vakcinēti vienā vizītē ar visām attiecīgajā vecumā paredzētajām vakcīnām. Līdz ar to sašaurinot vakcinācijas intervālu par trim mēnešiem, nemainās faktiskā vakcinācijas norise.</w:t>
            </w:r>
          </w:p>
          <w:p w14:paraId="6EDBD714" w14:textId="77777777" w:rsidR="007C50B3" w:rsidRPr="00491F08" w:rsidRDefault="007C50B3" w:rsidP="007C50B3">
            <w:pPr>
              <w:pStyle w:val="Sarakstarindkopa"/>
              <w:numPr>
                <w:ilvl w:val="0"/>
                <w:numId w:val="1"/>
              </w:numPr>
              <w:spacing w:line="240" w:lineRule="auto"/>
            </w:pPr>
            <w:r w:rsidRPr="00491F08">
              <w:t>Plānotais regulējums nemaina ne vakcīnu devu skaitu, ne medicīniskos principus, tas tikai precizē bērna vakcinācijas vecumu, lai nodrošinātu vakcinācijas savlaicīgumu.</w:t>
            </w:r>
          </w:p>
          <w:p w14:paraId="02D70EC8" w14:textId="77777777" w:rsidR="007C50B3" w:rsidRPr="00D4704C" w:rsidRDefault="007C50B3" w:rsidP="007C50B3">
            <w:pPr>
              <w:pStyle w:val="Sarakstarindkopa"/>
              <w:numPr>
                <w:ilvl w:val="0"/>
                <w:numId w:val="1"/>
              </w:numPr>
              <w:spacing w:line="240" w:lineRule="auto"/>
            </w:pPr>
            <w:r>
              <w:t xml:space="preserve">Zīdaiņi dzīves pirmajā gadā tiek vakcinēti vairākas reizes, </w:t>
            </w:r>
            <w:r w:rsidRPr="00491F08">
              <w:t xml:space="preserve">un </w:t>
            </w:r>
            <w:r>
              <w:t xml:space="preserve">arī citu vakcīnu ievades </w:t>
            </w:r>
            <w:r w:rsidRPr="00D4704C">
              <w:t>intervāli tiek plānoti pēc noteikta grafika.</w:t>
            </w:r>
          </w:p>
          <w:p w14:paraId="0F5ED385" w14:textId="77777777" w:rsidR="007C50B3" w:rsidRPr="00D4704C" w:rsidRDefault="007C50B3" w:rsidP="007C50B3">
            <w:pPr>
              <w:pStyle w:val="Sarakstarindkopa"/>
              <w:numPr>
                <w:ilvl w:val="0"/>
                <w:numId w:val="1"/>
              </w:numPr>
              <w:spacing w:line="240" w:lineRule="auto"/>
            </w:pPr>
            <w:r w:rsidRPr="00D4704C">
              <w:t xml:space="preserve">Normatīvais regulējums neprasa visas 12 mēnešu vecumā paredzētās vakcīnas ievadīt vienā dienā. Tādējādi gadījumos, kad vecāki nevēlas vienlaicīgu vairāku vakcīnu ievadi, ir </w:t>
            </w:r>
            <w:r w:rsidRPr="00D4704C">
              <w:lastRenderedPageBreak/>
              <w:t>iespējams tās sadalīt vairākās vizītēs četru nedēļu intervālā. Tomēr jāuzsver, ka šāda pieeja palielina risku, ka vakcinācija netiek pabeigta savlaicīgi vai pilnībā.</w:t>
            </w:r>
          </w:p>
          <w:p w14:paraId="43E54606" w14:textId="77777777" w:rsidR="007C50B3" w:rsidRDefault="007C50B3" w:rsidP="007C50B3">
            <w:pPr>
              <w:pStyle w:val="Sarakstarindkopa"/>
              <w:numPr>
                <w:ilvl w:val="0"/>
                <w:numId w:val="1"/>
              </w:numPr>
              <w:spacing w:line="240" w:lineRule="auto"/>
            </w:pPr>
            <w:r w:rsidRPr="00277C56">
              <w:t xml:space="preserve">Situācijās, kad iepriekšējās vakcinācijas ir </w:t>
            </w:r>
            <w:r>
              <w:t>ie</w:t>
            </w:r>
            <w:r w:rsidRPr="00277C56">
              <w:t xml:space="preserve">kavētas, vakcinācijas grafiks tiek individuāli koriģēts, saglabājot </w:t>
            </w:r>
            <w:r>
              <w:t>neieciešamos vakcinācijas intervālus</w:t>
            </w:r>
            <w:r w:rsidRPr="00277C56">
              <w:t>.</w:t>
            </w:r>
          </w:p>
          <w:p w14:paraId="69D16E7D" w14:textId="77777777" w:rsidR="00054630" w:rsidRDefault="007C50B3" w:rsidP="00054630">
            <w:pPr>
              <w:pStyle w:val="Sarakstarindkopa"/>
              <w:numPr>
                <w:ilvl w:val="0"/>
                <w:numId w:val="1"/>
              </w:numPr>
              <w:spacing w:line="240" w:lineRule="auto"/>
            </w:pPr>
            <w:r w:rsidRPr="00C85036">
              <w:t>Bērnu vakcinācijas kalendārs nosaka valsts apmaksātās un obligāti nodrošināmās vakcīnas, kuru savlaicīga saņemšana ir kritiski svarīga sabiedrības veselības aizsardzībai. Papildu (maks</w:t>
            </w:r>
            <w:r>
              <w:t>a</w:t>
            </w:r>
            <w:r w:rsidRPr="00C85036">
              <w:t xml:space="preserve">s) vakcīnas nedrīkst aizkavēt pamata </w:t>
            </w:r>
            <w:r>
              <w:t xml:space="preserve">bērnu vakcinācijas </w:t>
            </w:r>
            <w:r w:rsidRPr="00C85036">
              <w:t xml:space="preserve">kalendāra izpildi; </w:t>
            </w:r>
            <w:r>
              <w:t>tādējādi elastība vakcinācijā attiecināma uz papildu vakcīnām, nevis pamata vakcināciju.</w:t>
            </w:r>
          </w:p>
          <w:p w14:paraId="3E885EA0" w14:textId="47C19DD9" w:rsidR="007C50B3" w:rsidRDefault="007C50B3" w:rsidP="00054630">
            <w:pPr>
              <w:pStyle w:val="Sarakstarindkopa"/>
              <w:numPr>
                <w:ilvl w:val="0"/>
                <w:numId w:val="1"/>
              </w:numPr>
              <w:spacing w:line="240" w:lineRule="auto"/>
            </w:pPr>
            <w:r w:rsidRPr="002E12DA">
              <w:t xml:space="preserve">Ģimenes ārstu darbība Latvijā tiek vērtēta arī pēc kvalitātes kritērijiem, kuros vakcinācijas aptvere un savlaicīgums ir būtiski rādītāji. Šo kritēriju mērķis nav tikai administratīva uzraudzība, bet </w:t>
            </w:r>
            <w:r>
              <w:t>arī</w:t>
            </w:r>
            <w:r w:rsidRPr="002E12DA">
              <w:t xml:space="preserve"> sabiedrības veselības uzlabošana – infekciju izplatības mazināšana, profilakses veicināšana un savlaicīgas vakcinācijas nodrošināšana. </w:t>
            </w:r>
            <w:r>
              <w:t xml:space="preserve">Līdz ar to kvalitātes kritēriji pēc būtības paredz, ka ārsti organizē vakcināciju tā, lai tā būtu savlaicīga </w:t>
            </w:r>
            <w:r>
              <w:lastRenderedPageBreak/>
              <w:t>un pilnīga, nevis pielāgota ērtākai organizatoriskai praksei.</w:t>
            </w:r>
          </w:p>
        </w:tc>
      </w:tr>
      <w:tr w:rsidR="00707716" w14:paraId="3E885EA7" w14:textId="77777777" w:rsidTr="00DB393D">
        <w:tblPrEx>
          <w:tblCellMar>
            <w:top w:w="0" w:type="dxa"/>
            <w:left w:w="0" w:type="dxa"/>
            <w:bottom w:w="0" w:type="dxa"/>
            <w:right w:w="0" w:type="dxa"/>
          </w:tblCellMar>
        </w:tblPrEx>
        <w:tc>
          <w:tcPr>
            <w:tcW w:w="750" w:type="dxa"/>
            <w:shd w:val="clear" w:color="auto" w:fill="FFFFFF"/>
            <w:noWrap/>
            <w:tcMar>
              <w:top w:w="75" w:type="dxa"/>
              <w:left w:w="75" w:type="dxa"/>
              <w:bottom w:w="75" w:type="dxa"/>
              <w:right w:w="75" w:type="dxa"/>
            </w:tcMar>
          </w:tcPr>
          <w:p w14:paraId="3E885EA2" w14:textId="77777777" w:rsidR="00707716" w:rsidRDefault="00707716" w:rsidP="00DB393D">
            <w:pPr>
              <w:spacing w:line="240" w:lineRule="auto"/>
              <w:jc w:val="center"/>
            </w:pPr>
            <w:r>
              <w:lastRenderedPageBreak/>
              <w:t>2.</w:t>
            </w:r>
          </w:p>
        </w:tc>
        <w:tc>
          <w:tcPr>
            <w:tcW w:w="2302" w:type="dxa"/>
            <w:shd w:val="clear" w:color="auto" w:fill="FFFFFF"/>
            <w:noWrap/>
            <w:tcMar>
              <w:top w:w="75" w:type="dxa"/>
              <w:left w:w="75" w:type="dxa"/>
              <w:bottom w:w="75" w:type="dxa"/>
              <w:right w:w="75" w:type="dxa"/>
            </w:tcMar>
          </w:tcPr>
          <w:p w14:paraId="3E885EA3" w14:textId="77777777" w:rsidR="00707716" w:rsidRDefault="00707716" w:rsidP="00DB393D">
            <w:pPr>
              <w:spacing w:line="240" w:lineRule="auto"/>
              <w:jc w:val="left"/>
            </w:pPr>
            <w:r>
              <w:t>Fiziska persona</w:t>
            </w:r>
          </w:p>
        </w:tc>
        <w:tc>
          <w:tcPr>
            <w:tcW w:w="4253" w:type="dxa"/>
            <w:shd w:val="clear" w:color="auto" w:fill="FFFFFF"/>
            <w:noWrap/>
            <w:tcMar>
              <w:top w:w="75" w:type="dxa"/>
              <w:left w:w="75" w:type="dxa"/>
              <w:bottom w:w="75" w:type="dxa"/>
              <w:right w:w="75" w:type="dxa"/>
            </w:tcMar>
            <w:vAlign w:val="center"/>
          </w:tcPr>
          <w:p w14:paraId="3E885EA4" w14:textId="77777777" w:rsidR="00707716" w:rsidRDefault="00707716" w:rsidP="00707716">
            <w:pPr>
              <w:spacing w:line="240" w:lineRule="auto"/>
              <w:jc w:val="left"/>
            </w:pPr>
            <w:r>
              <w:t xml:space="preserve">Jāņem vērā, ka nosakot prasību veikt poti pret masalām 12 mēnešu vecumā, palielinās varbūtība, ka imunitāte pret masalām neizstrādājas, jo bērna imūnsistēma ir mazāk nobriedusi nekā lielākā vecumā. Ieguvumu no potēšanas ātrāk būs maz tiem bērniem, kuri neiet bērnudārzā līdz 1,5 gadu vecumam (pašvaldību bērnudārzos arī nav iespējams ātrāk uzsākt apmeklējumu) un pārsvarā uzturas mājās. Savukārt, risks, ka neizstrādājas imunitāte pārāk agri veiktas potes dēļ, pieaug un būs vairāk bērnu bez imunitātes pret masalām līdz 4 gadu vecumam, kad veiks atkārtotu poti tikai tāpēc, ka nav zināms vai imunitāte ir izveidojusies pēc pirmās potes un ka tā ir lētāk nekā veikt analīzes. Kā arī pastāv risks, ka potēs īsi pirms 12 mēnešu vecuma sasniegšanas, un tad, piem., atbilstoši M-M-RVAXPRO aprakstam sanāk, ka </w:t>
            </w:r>
            <w:r>
              <w:lastRenderedPageBreak/>
              <w:t>12-15 mēnešu vecumā ir jāveic atkārtota pote tieši šī iemesla dēļ, kad poti uztaisa mazākā vecumā, ko zāļu apraksts iesaka darīt tikai īpašos gadījumos.</w:t>
            </w:r>
            <w:r>
              <w:br/>
            </w:r>
            <w:r>
              <w:br/>
              <w:t>Protams, jāņem vērā arī, ka veikt 4 potes vienā apmeklējumā nav prātīgi, jo blakusparādību riski summējas un tas bērniem radīs milzīgu stresu, un vecāki tāpat būs spiesti 12 mēnešu vecumā daudzas reizes vest bērnus uz potēšanu.</w:t>
            </w:r>
            <w:r>
              <w:br/>
            </w:r>
            <w:r>
              <w:br/>
              <w:t xml:space="preserve">Ņemot vērā minētās ar cilvēka imunitāti saistītās nianses, ierosinu nemainīt potēšanas kalendāru, </w:t>
            </w:r>
            <w:r>
              <w:rPr>
                <w:u w:val="single"/>
              </w:rPr>
              <w:t>atstājot esošo 12-15 mēnešu intervālu, bet tajā pašā laikā uzsvērt, ka atbilstoši šī brīža epidemioloģiskajai situācijai ar masalām, potēšanu pret masalām ir jāveic savlaicīgāk, ja bērns bieži uzturas publiskos pasākumos vai iet bērnudārzā jau no 1 gada vecuma.</w:t>
            </w:r>
          </w:p>
        </w:tc>
        <w:tc>
          <w:tcPr>
            <w:tcW w:w="1559" w:type="dxa"/>
            <w:shd w:val="clear" w:color="auto" w:fill="FFFFFF"/>
            <w:noWrap/>
            <w:tcMar>
              <w:top w:w="75" w:type="dxa"/>
              <w:left w:w="75" w:type="dxa"/>
              <w:bottom w:w="75" w:type="dxa"/>
              <w:right w:w="75" w:type="dxa"/>
            </w:tcMar>
          </w:tcPr>
          <w:p w14:paraId="3E885EA5" w14:textId="6B63516F" w:rsidR="00707716" w:rsidRDefault="00707716" w:rsidP="00DB393D">
            <w:pPr>
              <w:spacing w:line="240" w:lineRule="auto"/>
              <w:jc w:val="left"/>
            </w:pPr>
            <w:r>
              <w:rPr>
                <w:b/>
              </w:rPr>
              <w:lastRenderedPageBreak/>
              <w:t>nav ņemts vērā</w:t>
            </w:r>
          </w:p>
        </w:tc>
        <w:tc>
          <w:tcPr>
            <w:tcW w:w="5703" w:type="dxa"/>
            <w:shd w:val="clear" w:color="auto" w:fill="FFFFFF"/>
            <w:noWrap/>
            <w:tcMar>
              <w:top w:w="75" w:type="dxa"/>
              <w:left w:w="75" w:type="dxa"/>
              <w:bottom w:w="75" w:type="dxa"/>
              <w:right w:w="75" w:type="dxa"/>
            </w:tcMar>
          </w:tcPr>
          <w:p w14:paraId="6C063552" w14:textId="77777777" w:rsidR="00707716" w:rsidRDefault="00707716" w:rsidP="00707716">
            <w:pPr>
              <w:spacing w:line="240" w:lineRule="auto"/>
            </w:pPr>
            <w:r>
              <w:t>Pirmās potes pret masalām veikšana 12 mēnešu vecumā ir balstīta uz starptautiski pieņemtiem zinātniskiem pierādījumiem un līdzsvaru starp bērna imūnsistēmas attīstību un saslimšanas risku. Pētījumi liecina, ka m</w:t>
            </w:r>
            <w:r w:rsidRPr="005A7297">
              <w:t>ātes antivielu nodrošinātā imunitāte pret masalām strauji samazinās jau pirmajos dzīves mēnešos, un pirmā dzīves gada laikā lielākajai daļai bērnu tā vairs nav pietiekama. Tomēr rutīnas vakcināciju uzsāk no 12 mēnešu vecuma, jo agrākā vecumā vakcīnas efektivitāti var ietekmēt atlikušo mātes antivielu klātbūtne.</w:t>
            </w:r>
            <w:r>
              <w:t xml:space="preserve"> Vienlaikus ir pierādīts, ka vakcinācija 12 mēnešu vecumā spēj izraisīt kvalitatīvu un pietiekamu imūno atbildi, un mātes antivielas šajā vecumā būtiski netraucē imunitātes izveidei.</w:t>
            </w:r>
          </w:p>
          <w:p w14:paraId="45386D8B" w14:textId="77777777" w:rsidR="00707716" w:rsidRDefault="00707716" w:rsidP="00707716">
            <w:pPr>
              <w:spacing w:line="240" w:lineRule="auto"/>
            </w:pPr>
            <w:r>
              <w:t xml:space="preserve">Jāuzsver, ka vakcinācijas shēma pret masalām paredz divas devas tieši tāpēc, ka jau iepriekš ir ņemta vērā iespēja, ka daļai bērnu pēc pirmās devas imunitāte var nebūt pilnīga. Viena deva nodrošina aizsardzību aptuveni 93% gadījumu, savukārt divas devas – aptuveni 97% gadījumu, tādējādi nodrošinot augstu kopējo efektivitāti populācijā. Tas nozīmē, ka pirmās devas iespējamā nepilnīgā iedarbība tiek kompensēta ar </w:t>
            </w:r>
            <w:r>
              <w:lastRenderedPageBreak/>
              <w:t xml:space="preserve">revakcināciju, un nav pamata atlikt pirmo vakcīnas devu uz vēlāku vecumu. </w:t>
            </w:r>
          </w:p>
          <w:p w14:paraId="20CF56EC" w14:textId="77777777" w:rsidR="00707716" w:rsidRDefault="00707716" w:rsidP="00707716">
            <w:pPr>
              <w:spacing w:line="240" w:lineRule="auto"/>
            </w:pPr>
            <w:r>
              <w:t xml:space="preserve">Papildus norādāms, ka epidemioloģiskā situācija ar masalām Eiropā pēdējos gados ir būtiski pasliktinājusies, ar strauju saslimšanas gadījumu pieaugumu un uzliesmojumiem vairākās valstīs. Masalas ir ļoti lipīga infekcija, un inficēšanās risks pastāv arī bērniem, kuri neapmeklē bērnudārzu, jo infekcija var tikt pārnesta caur ģimenes locekļiem vai sabiedriskām vietām. Tādēļ vakcinācijas atlikšana, balstoties tikai uz individuālu sociālās vides izvērtējumu, nav uzskatāma par drošu pieeju. </w:t>
            </w:r>
          </w:p>
          <w:p w14:paraId="4D466504" w14:textId="77777777" w:rsidR="00707716" w:rsidRDefault="00707716" w:rsidP="00707716">
            <w:pPr>
              <w:spacing w:line="240" w:lineRule="auto"/>
            </w:pPr>
            <w:r w:rsidRPr="00F91D84">
              <w:t xml:space="preserve">Iebildums nepamatoti sajauc divas atšķirīgas </w:t>
            </w:r>
            <w:r>
              <w:t xml:space="preserve">vakcinācijas </w:t>
            </w:r>
            <w:r w:rsidRPr="00F91D84">
              <w:t xml:space="preserve">pieejas – </w:t>
            </w:r>
            <w:r>
              <w:t xml:space="preserve">visu bērnu </w:t>
            </w:r>
            <w:r w:rsidRPr="00F91D84">
              <w:t xml:space="preserve">rutīnas vakcināciju 12 mēnešu vecumā un </w:t>
            </w:r>
            <w:r>
              <w:t xml:space="preserve">zīdaiņa, kas ir masalu slimnieka kontaktpersona, </w:t>
            </w:r>
            <w:r w:rsidRPr="00F91D84">
              <w:t>agrīnu vakcināciju no 9 mēnešiem, kas tiek rekomendēta tikai īpašos epidemioloģiskos apstākļos</w:t>
            </w:r>
            <w:r>
              <w:t xml:space="preserve">, </w:t>
            </w:r>
            <w:r w:rsidRPr="00A96F1A">
              <w:t>piemēram, uzliesmojum</w:t>
            </w:r>
            <w:r>
              <w:t>a</w:t>
            </w:r>
            <w:r w:rsidRPr="00A96F1A">
              <w:t xml:space="preserve"> laikā</w:t>
            </w:r>
            <w:r>
              <w:t>,</w:t>
            </w:r>
            <w:r w:rsidRPr="00F91D84">
              <w:t xml:space="preserve"> kā izņēmuma risinājums</w:t>
            </w:r>
            <w:r>
              <w:t>, lai pasargātu zīdaini no saslimšanas ar masalām vai novērstu smagu slimības gaitu</w:t>
            </w:r>
            <w:r w:rsidRPr="00F91D84">
              <w:t>.</w:t>
            </w:r>
            <w:r>
              <w:t xml:space="preserve"> Rutīnas vakcinācijā nav paredzēta zīdaiņu vakcinācija pirms 12 mēnešu sasniegšanas.</w:t>
            </w:r>
          </w:p>
          <w:p w14:paraId="209E16A8" w14:textId="77777777" w:rsidR="00707716" w:rsidRDefault="00707716" w:rsidP="00707716">
            <w:pPr>
              <w:spacing w:line="240" w:lineRule="auto"/>
            </w:pPr>
            <w:r>
              <w:t xml:space="preserve">Par vairāku vakcīnu ievadīšanu vienlaikus norādāms, ka plaši veikti pētījumi un ilgtermiņa novērojumi rāda, ka vienlaicīga vairāku vakcīnu </w:t>
            </w:r>
            <w:r>
              <w:lastRenderedPageBreak/>
              <w:t xml:space="preserve">ievadīšana ir droša un nepārslogo bērna imūnsistēmu. Bērna imūnsistēma jau no dzimšanas saskaras ar lielu daudzumu dažādu antigēnu, tādēļ vakcīnās esošie antigēni veido tikai nelielu daļu no kopējās imūnās slodzes. Turklāt vakcinācijas kalendārs ir veidots, lai nodrošinātu aizsardzību laikā, kad bērns ir visneaizsargātākais, un vakcīnas drīkst ievadīt vienlaikus dažādās injekciju vietās. Vairāku vakcīnu ievadīšana vienā vizītē samazina nepieciešamo apmeklējumu skaitu un nodrošina ātrāku aizsardzību pret vairākām infekcijām, kas ir būtiski ne tikai individuālā, bet arī sabiedrības veselības aspektā. </w:t>
            </w:r>
          </w:p>
          <w:p w14:paraId="3E885EA6" w14:textId="6BD7FA74" w:rsidR="00707716" w:rsidRDefault="00707716" w:rsidP="00707716">
            <w:pPr>
              <w:spacing w:line="240" w:lineRule="auto"/>
              <w:jc w:val="left"/>
            </w:pPr>
            <w:r>
              <w:t>Ņemot vērā minēto, nav pamata mainīt vai atlikt vakcinācijas kalendārā paredzēto pirmo potes pret masalām ievadīšanas laiku. Tieši savlaicīga vakcinācija nodrošina bērna aizsardzību periodā, kad viņš kļūst uzņēmīgs pret infekciju, vienlaikus garantējot pietiekamu imūnās atbildes veidošanos un augstu kopējo aizsardzības līmeni sabiedrībā.</w:t>
            </w:r>
          </w:p>
        </w:tc>
      </w:tr>
    </w:tbl>
    <w:p w14:paraId="3E885EA8" w14:textId="77777777" w:rsidR="00A1173E" w:rsidRDefault="00A1173E"/>
    <w:tbl>
      <w:tblPr>
        <w:tblStyle w:val="a"/>
        <w:tblW w:w="14567" w:type="dxa"/>
        <w:tblInd w:w="0" w:type="dxa"/>
        <w:tblLayout w:type="fixed"/>
        <w:tblCellMar>
          <w:top w:w="0" w:type="dxa"/>
          <w:left w:w="0" w:type="dxa"/>
          <w:bottom w:w="0" w:type="dxa"/>
          <w:right w:w="0" w:type="dxa"/>
        </w:tblCellMar>
        <w:tblLook w:val="0600" w:firstRow="0" w:lastRow="0" w:firstColumn="0" w:lastColumn="0" w:noHBand="1" w:noVBand="1"/>
      </w:tblPr>
      <w:tblGrid>
        <w:gridCol w:w="4855"/>
        <w:gridCol w:w="4856"/>
        <w:gridCol w:w="4856"/>
      </w:tblGrid>
      <w:tr w:rsidR="00A1173E" w14:paraId="3E885EAC" w14:textId="77777777">
        <w:tblPrEx>
          <w:tblCellMar>
            <w:top w:w="0" w:type="dxa"/>
            <w:left w:w="0" w:type="dxa"/>
            <w:bottom w:w="0" w:type="dxa"/>
            <w:right w:w="0" w:type="dxa"/>
          </w:tblCellMar>
        </w:tblPrEx>
        <w:tc>
          <w:tcPr>
            <w:tcW w:w="4855" w:type="dxa"/>
            <w:shd w:val="clear" w:color="auto" w:fill="FFFFFF"/>
            <w:noWrap/>
            <w:tcMar>
              <w:top w:w="75" w:type="dxa"/>
              <w:left w:w="75" w:type="dxa"/>
              <w:bottom w:w="75" w:type="dxa"/>
              <w:right w:w="75" w:type="dxa"/>
            </w:tcMar>
            <w:vAlign w:val="center"/>
          </w:tcPr>
          <w:p w14:paraId="3E885EA9" w14:textId="77777777" w:rsidR="00A1173E" w:rsidRDefault="00841E3C">
            <w:pPr>
              <w:spacing w:line="240" w:lineRule="auto"/>
              <w:jc w:val="left"/>
            </w:pPr>
            <w:r>
              <w:t>Datums**</w:t>
            </w:r>
          </w:p>
        </w:tc>
        <w:tc>
          <w:tcPr>
            <w:tcW w:w="4856" w:type="dxa"/>
            <w:shd w:val="clear" w:color="auto" w:fill="FFFFFF"/>
            <w:noWrap/>
            <w:tcMar>
              <w:top w:w="75" w:type="dxa"/>
              <w:left w:w="75" w:type="dxa"/>
              <w:bottom w:w="75" w:type="dxa"/>
              <w:right w:w="75" w:type="dxa"/>
            </w:tcMar>
            <w:vAlign w:val="center"/>
          </w:tcPr>
          <w:p w14:paraId="3E885EAA" w14:textId="77777777" w:rsidR="00A1173E" w:rsidRDefault="00A1173E">
            <w:pPr>
              <w:pBdr>
                <w:bottom w:val="single" w:sz="10" w:space="1" w:color="000000"/>
              </w:pBdr>
              <w:spacing w:line="240" w:lineRule="auto"/>
            </w:pPr>
          </w:p>
        </w:tc>
        <w:tc>
          <w:tcPr>
            <w:tcW w:w="4856" w:type="dxa"/>
            <w:shd w:val="clear" w:color="auto" w:fill="FFFFFF"/>
            <w:noWrap/>
            <w:tcMar>
              <w:top w:w="75" w:type="dxa"/>
              <w:left w:w="75" w:type="dxa"/>
              <w:bottom w:w="75" w:type="dxa"/>
              <w:right w:w="75" w:type="dxa"/>
            </w:tcMar>
            <w:vAlign w:val="center"/>
          </w:tcPr>
          <w:p w14:paraId="3E885EAB" w14:textId="77777777" w:rsidR="00A1173E" w:rsidRDefault="00A1173E">
            <w:pPr>
              <w:spacing w:line="240" w:lineRule="auto"/>
            </w:pPr>
          </w:p>
        </w:tc>
      </w:tr>
      <w:tr w:rsidR="00A1173E" w14:paraId="3E885EB0" w14:textId="77777777">
        <w:tblPrEx>
          <w:tblCellMar>
            <w:top w:w="0" w:type="dxa"/>
            <w:left w:w="0" w:type="dxa"/>
            <w:bottom w:w="0" w:type="dxa"/>
            <w:right w:w="0" w:type="dxa"/>
          </w:tblCellMar>
        </w:tblPrEx>
        <w:tc>
          <w:tcPr>
            <w:tcW w:w="4855" w:type="dxa"/>
            <w:shd w:val="clear" w:color="auto" w:fill="FFFFFF"/>
            <w:noWrap/>
            <w:tcMar>
              <w:top w:w="75" w:type="dxa"/>
              <w:left w:w="75" w:type="dxa"/>
              <w:bottom w:w="75" w:type="dxa"/>
              <w:right w:w="75" w:type="dxa"/>
            </w:tcMar>
            <w:vAlign w:val="center"/>
          </w:tcPr>
          <w:p w14:paraId="3E885EAD" w14:textId="77777777" w:rsidR="00A1173E" w:rsidRDefault="00A1173E">
            <w:pPr>
              <w:spacing w:line="240" w:lineRule="auto"/>
            </w:pPr>
          </w:p>
        </w:tc>
        <w:tc>
          <w:tcPr>
            <w:tcW w:w="4856" w:type="dxa"/>
            <w:shd w:val="clear" w:color="auto" w:fill="FFFFFF"/>
            <w:noWrap/>
            <w:tcMar>
              <w:top w:w="75" w:type="dxa"/>
              <w:left w:w="75" w:type="dxa"/>
              <w:bottom w:w="75" w:type="dxa"/>
              <w:right w:w="75" w:type="dxa"/>
            </w:tcMar>
            <w:vAlign w:val="center"/>
          </w:tcPr>
          <w:p w14:paraId="3E885EAE" w14:textId="77777777" w:rsidR="00A1173E" w:rsidRDefault="00841E3C">
            <w:pPr>
              <w:spacing w:line="240" w:lineRule="auto"/>
              <w:jc w:val="center"/>
            </w:pPr>
            <w:r>
              <w:t>(</w:t>
            </w:r>
            <w:proofErr w:type="spellStart"/>
            <w:r>
              <w:t>dd.mm.gggg</w:t>
            </w:r>
            <w:proofErr w:type="spellEnd"/>
            <w:r>
              <w:t>)</w:t>
            </w:r>
          </w:p>
        </w:tc>
        <w:tc>
          <w:tcPr>
            <w:tcW w:w="4856" w:type="dxa"/>
            <w:shd w:val="clear" w:color="auto" w:fill="FFFFFF"/>
            <w:noWrap/>
            <w:tcMar>
              <w:top w:w="75" w:type="dxa"/>
              <w:left w:w="75" w:type="dxa"/>
              <w:bottom w:w="75" w:type="dxa"/>
              <w:right w:w="75" w:type="dxa"/>
            </w:tcMar>
            <w:vAlign w:val="center"/>
          </w:tcPr>
          <w:p w14:paraId="3E885EAF" w14:textId="77777777" w:rsidR="00A1173E" w:rsidRDefault="00A1173E">
            <w:pPr>
              <w:spacing w:line="240" w:lineRule="auto"/>
            </w:pPr>
          </w:p>
        </w:tc>
      </w:tr>
      <w:tr w:rsidR="00A1173E" w14:paraId="3E885EB4" w14:textId="77777777">
        <w:tblPrEx>
          <w:tblCellMar>
            <w:top w:w="0" w:type="dxa"/>
            <w:left w:w="0" w:type="dxa"/>
            <w:bottom w:w="0" w:type="dxa"/>
            <w:right w:w="0" w:type="dxa"/>
          </w:tblCellMar>
        </w:tblPrEx>
        <w:tc>
          <w:tcPr>
            <w:tcW w:w="4855" w:type="dxa"/>
            <w:shd w:val="clear" w:color="auto" w:fill="FFFFFF"/>
            <w:noWrap/>
            <w:tcMar>
              <w:top w:w="75" w:type="dxa"/>
              <w:left w:w="75" w:type="dxa"/>
              <w:bottom w:w="75" w:type="dxa"/>
              <w:right w:w="75" w:type="dxa"/>
            </w:tcMar>
            <w:vAlign w:val="center"/>
          </w:tcPr>
          <w:p w14:paraId="3E885EB1" w14:textId="77777777" w:rsidR="00A1173E" w:rsidRDefault="00841E3C">
            <w:pPr>
              <w:spacing w:line="240" w:lineRule="auto"/>
              <w:jc w:val="left"/>
            </w:pPr>
            <w:r>
              <w:t>Atbildīgā persona</w:t>
            </w:r>
          </w:p>
        </w:tc>
        <w:tc>
          <w:tcPr>
            <w:tcW w:w="4856" w:type="dxa"/>
            <w:shd w:val="clear" w:color="auto" w:fill="FFFFFF"/>
            <w:noWrap/>
            <w:tcMar>
              <w:top w:w="75" w:type="dxa"/>
              <w:left w:w="75" w:type="dxa"/>
              <w:bottom w:w="75" w:type="dxa"/>
              <w:right w:w="75" w:type="dxa"/>
            </w:tcMar>
            <w:vAlign w:val="center"/>
          </w:tcPr>
          <w:p w14:paraId="3E885EB2" w14:textId="77777777" w:rsidR="00A1173E" w:rsidRDefault="00A1173E">
            <w:pPr>
              <w:pBdr>
                <w:bottom w:val="single" w:sz="10" w:space="1" w:color="000000"/>
              </w:pBdr>
              <w:spacing w:line="240" w:lineRule="auto"/>
            </w:pPr>
          </w:p>
        </w:tc>
        <w:tc>
          <w:tcPr>
            <w:tcW w:w="4856" w:type="dxa"/>
            <w:shd w:val="clear" w:color="auto" w:fill="FFFFFF"/>
            <w:noWrap/>
            <w:tcMar>
              <w:top w:w="75" w:type="dxa"/>
              <w:left w:w="75" w:type="dxa"/>
              <w:bottom w:w="75" w:type="dxa"/>
              <w:right w:w="75" w:type="dxa"/>
            </w:tcMar>
            <w:vAlign w:val="center"/>
          </w:tcPr>
          <w:p w14:paraId="3E885EB3" w14:textId="77777777" w:rsidR="00A1173E" w:rsidRDefault="00A1173E">
            <w:pPr>
              <w:spacing w:line="240" w:lineRule="auto"/>
            </w:pPr>
          </w:p>
        </w:tc>
      </w:tr>
      <w:tr w:rsidR="00A1173E" w14:paraId="3E885EB8" w14:textId="77777777">
        <w:tblPrEx>
          <w:tblCellMar>
            <w:top w:w="0" w:type="dxa"/>
            <w:left w:w="0" w:type="dxa"/>
            <w:bottom w:w="0" w:type="dxa"/>
            <w:right w:w="0" w:type="dxa"/>
          </w:tblCellMar>
        </w:tblPrEx>
        <w:tc>
          <w:tcPr>
            <w:tcW w:w="4855" w:type="dxa"/>
            <w:shd w:val="clear" w:color="auto" w:fill="FFFFFF"/>
            <w:noWrap/>
            <w:tcMar>
              <w:top w:w="75" w:type="dxa"/>
              <w:left w:w="75" w:type="dxa"/>
              <w:bottom w:w="75" w:type="dxa"/>
              <w:right w:w="75" w:type="dxa"/>
            </w:tcMar>
            <w:vAlign w:val="center"/>
          </w:tcPr>
          <w:p w14:paraId="3E885EB5" w14:textId="77777777" w:rsidR="00A1173E" w:rsidRDefault="00A1173E">
            <w:pPr>
              <w:spacing w:line="240" w:lineRule="auto"/>
            </w:pPr>
          </w:p>
        </w:tc>
        <w:tc>
          <w:tcPr>
            <w:tcW w:w="4856" w:type="dxa"/>
            <w:shd w:val="clear" w:color="auto" w:fill="FFFFFF"/>
            <w:noWrap/>
            <w:tcMar>
              <w:top w:w="75" w:type="dxa"/>
              <w:left w:w="75" w:type="dxa"/>
              <w:bottom w:w="75" w:type="dxa"/>
              <w:right w:w="75" w:type="dxa"/>
            </w:tcMar>
            <w:vAlign w:val="center"/>
          </w:tcPr>
          <w:p w14:paraId="3E885EB6" w14:textId="77777777" w:rsidR="00A1173E" w:rsidRDefault="00841E3C">
            <w:pPr>
              <w:spacing w:line="240" w:lineRule="auto"/>
              <w:jc w:val="center"/>
            </w:pPr>
            <w:r>
              <w:t>(vārds, uzvārds, paraksts**)</w:t>
            </w:r>
          </w:p>
        </w:tc>
        <w:tc>
          <w:tcPr>
            <w:tcW w:w="4856" w:type="dxa"/>
            <w:shd w:val="clear" w:color="auto" w:fill="FFFFFF"/>
            <w:noWrap/>
            <w:tcMar>
              <w:top w:w="75" w:type="dxa"/>
              <w:left w:w="75" w:type="dxa"/>
              <w:bottom w:w="75" w:type="dxa"/>
              <w:right w:w="75" w:type="dxa"/>
            </w:tcMar>
            <w:vAlign w:val="center"/>
          </w:tcPr>
          <w:p w14:paraId="3E885EB7" w14:textId="77777777" w:rsidR="00A1173E" w:rsidRDefault="00A1173E">
            <w:pPr>
              <w:spacing w:line="240" w:lineRule="auto"/>
            </w:pPr>
          </w:p>
        </w:tc>
      </w:tr>
    </w:tbl>
    <w:p w14:paraId="3E885EB9" w14:textId="77777777" w:rsidR="00A1173E" w:rsidRDefault="00A1173E"/>
    <w:p w14:paraId="3E885EBA" w14:textId="77777777" w:rsidR="00A1173E" w:rsidRDefault="00841E3C">
      <w:r>
        <w:t>Piezīmes.</w:t>
      </w:r>
    </w:p>
    <w:p w14:paraId="3E885EBB" w14:textId="77777777" w:rsidR="00A1173E" w:rsidRDefault="00841E3C">
      <w:r>
        <w:t>* Iesniedzējs (fiziskai personai – vārds, uzvārds, juridiskai personai – nosaukums) var tikt publiskots, ja viņš tam ir piekritis. Ja attiecināms, iesniedzējs norāda interešu pārstāvja reģistrācijas numuru.</w:t>
      </w:r>
    </w:p>
    <w:p w14:paraId="3E885EBC" w14:textId="77777777" w:rsidR="00A1173E" w:rsidRDefault="00841E3C">
      <w:r>
        <w:t>** Dokumenta rekvizītus "datums" un "paraksts" neaizpilda, ja elektroniskais dokuments ir sagatavots atbilstoši normatīvajiem aktiem par elektronisko dokumentu noformēšanu.</w:t>
      </w:r>
    </w:p>
    <w:sectPr w:rsidR="00A1173E">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7BAF8" w14:textId="77777777" w:rsidR="00841E3C" w:rsidRDefault="00841E3C">
      <w:r>
        <w:separator/>
      </w:r>
    </w:p>
  </w:endnote>
  <w:endnote w:type="continuationSeparator" w:id="0">
    <w:p w14:paraId="1EAAF95B" w14:textId="77777777" w:rsidR="00841E3C" w:rsidRDefault="00841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85EBE" w14:textId="216B3CBE" w:rsidR="00A1173E" w:rsidRDefault="00841E3C">
    <w:pPr>
      <w:jc w:val="right"/>
    </w:pPr>
    <w:r>
      <w:rPr>
        <w:sz w:val="24"/>
        <w:szCs w:val="24"/>
      </w:rPr>
      <w:fldChar w:fldCharType="begin"/>
    </w:r>
    <w:r>
      <w:rPr>
        <w:sz w:val="24"/>
        <w:szCs w:val="24"/>
      </w:rPr>
      <w:instrText>PAGE</w:instrText>
    </w:r>
    <w:r w:rsidR="001054D7">
      <w:rPr>
        <w:sz w:val="24"/>
        <w:szCs w:val="24"/>
      </w:rPr>
      <w:fldChar w:fldCharType="separate"/>
    </w:r>
    <w:r w:rsidR="001054D7">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85ECB" w14:textId="77777777" w:rsidR="00841E3C" w:rsidRDefault="00841E3C">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B6CF0" w14:textId="77777777" w:rsidR="00841E3C" w:rsidRDefault="00841E3C">
      <w:r>
        <w:separator/>
      </w:r>
    </w:p>
  </w:footnote>
  <w:footnote w:type="continuationSeparator" w:id="0">
    <w:p w14:paraId="77E33BF1" w14:textId="77777777" w:rsidR="00841E3C" w:rsidRDefault="00841E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85EBD" w14:textId="77777777" w:rsidR="00A1173E" w:rsidRDefault="00841E3C">
    <w:pPr>
      <w:pStyle w:val="Galvene"/>
      <w:contextualSpacing w:val="0"/>
    </w:pPr>
    <w:r>
      <w:t>Viedokļu pārskats 26-TA-831</w:t>
    </w:r>
    <w:r>
      <w:br/>
    </w:r>
    <w:r>
      <w:t>Izdrukāts 29.05.2026. 10.23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85EBF" w14:textId="77777777" w:rsidR="00A1173E" w:rsidRDefault="00841E3C">
    <w:pPr>
      <w:pStyle w:val="Galvene"/>
      <w:contextualSpacing w:val="0"/>
    </w:pPr>
    <w:r>
      <w:t>Viedokļu pārskats 26-TA-831</w:t>
    </w:r>
    <w:r>
      <w:br/>
    </w:r>
    <w:r>
      <w:t>Izdrukāts 29.05.2026. 10.23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E6A64"/>
    <w:multiLevelType w:val="hybridMultilevel"/>
    <w:tmpl w:val="BD4A484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1150053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A1173E"/>
    <w:rsid w:val="00054630"/>
    <w:rsid w:val="001054D7"/>
    <w:rsid w:val="001107D7"/>
    <w:rsid w:val="00707716"/>
    <w:rsid w:val="007C50B3"/>
    <w:rsid w:val="00841E3C"/>
    <w:rsid w:val="00963F0C"/>
    <w:rsid w:val="009D1531"/>
    <w:rsid w:val="00A1173E"/>
    <w:rsid w:val="00B558E1"/>
    <w:rsid w:val="00DB39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85E95"/>
  <w15:docId w15:val="{358520CC-5CC1-4F38-B2E6-18DBC49B3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pPr>
      <w:spacing w:line="644"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paragraph" w:customStyle="1" w:styleId="boldparagraphheader">
    <w:name w:val="bold_paragraph_header"/>
    <w:basedOn w:val="Parasts"/>
    <w:next w:val="Parasts"/>
    <w:pPr>
      <w:contextualSpacing/>
      <w:jc w:val="center"/>
    </w:pPr>
    <w:rPr>
      <w:b/>
    </w:rPr>
  </w:style>
  <w:style w:type="table" w:customStyle="1" w:styleId="a">
    <w:basedOn w:val="TableNormal"/>
    <w:tblPr>
      <w:tblStyleRowBandSize w:val="1"/>
      <w:tblStyleColBandSize w:val="1"/>
      <w:tblCellMar>
        <w:top w:w="0" w:type="dxa"/>
        <w:left w:w="0" w:type="dxa"/>
        <w:bottom w:w="0" w:type="dxa"/>
        <w:right w:w="0" w:type="dxa"/>
      </w:tblCellMar>
    </w:tblPr>
  </w:style>
  <w:style w:type="paragraph" w:styleId="Kjene">
    <w:name w:val="footer"/>
    <w:basedOn w:val="Parasts"/>
    <w:link w:val="KjeneRakstz"/>
    <w:uiPriority w:val="99"/>
    <w:semiHidden/>
    <w:unhideWhenUsed/>
    <w:rsid w:val="00B558E1"/>
    <w:pPr>
      <w:tabs>
        <w:tab w:val="center" w:pos="4153"/>
        <w:tab w:val="right" w:pos="8306"/>
      </w:tabs>
    </w:pPr>
  </w:style>
  <w:style w:type="character" w:customStyle="1" w:styleId="KjeneRakstz">
    <w:name w:val="Kājene Rakstz."/>
    <w:basedOn w:val="Noklusjumarindkopasfonts"/>
    <w:link w:val="Kjene"/>
    <w:uiPriority w:val="99"/>
    <w:semiHidden/>
    <w:rsid w:val="00B558E1"/>
  </w:style>
  <w:style w:type="paragraph" w:styleId="Sarakstarindkopa">
    <w:name w:val="List Paragraph"/>
    <w:basedOn w:val="Parasts"/>
    <w:uiPriority w:val="34"/>
    <w:qFormat/>
    <w:rsid w:val="007C50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71abc8c-0b18-4336-97d7-51d65f5c7f99}" enabled="1" method="Standard" siteId="{dbc9012d-628b-43d4-b190-8a730f7e1e96}" removed="0"/>
</clbl:labelList>
</file>

<file path=docProps/app.xml><?xml version="1.0" encoding="utf-8"?>
<Properties xmlns="http://schemas.openxmlformats.org/officeDocument/2006/extended-properties" xmlns:vt="http://schemas.openxmlformats.org/officeDocument/2006/docPropsVTypes">
  <Template>Normal</Template>
  <TotalTime>4</TotalTime>
  <Pages>7</Pages>
  <Words>1398</Words>
  <Characters>9034</Characters>
  <Application>Microsoft Office Word</Application>
  <DocSecurity>0</DocSecurity>
  <Lines>273</Lines>
  <Paragraphs>47</Paragraphs>
  <ScaleCrop>false</ScaleCrop>
  <Company/>
  <LinksUpToDate>false</LinksUpToDate>
  <CharactersWithSpaces>10385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viedoklu_parskats_26-TA-831.docx</dc:title>
  <cp:lastModifiedBy>Inga Liepiņa</cp:lastModifiedBy>
  <cp:revision>9</cp:revision>
  <dcterms:created xsi:type="dcterms:W3CDTF">2026-05-29T07:23:00Z</dcterms:created>
  <dcterms:modified xsi:type="dcterms:W3CDTF">2026-05-29T07:27:00Z</dcterms:modified>
</cp:coreProperties>
</file>