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18B2255" w14:textId="77777777" w:rsidR="00037711" w:rsidRDefault="00EB5FE5">
      <w:pPr>
        <w:spacing w:after="240"/>
        <w:jc w:val="center"/>
        <w:rPr>
          <w:b/>
        </w:rPr>
      </w:pPr>
      <w:r>
        <w:rPr>
          <w:b/>
        </w:rPr>
        <w:t>“Publiskās apspriešanas laikā 18.03.2026. - 01.04.2026. saņemto viedokļu, priekšlikumu un iebildumu apkopojums par Noteikumi par valsts pārbaudes darbu norises laiku 2026./2027. mācību gadā”</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037711" w14:paraId="7C9418BD" w14:textId="77777777" w:rsidTr="5D332639">
        <w:tc>
          <w:tcPr>
            <w:tcW w:w="750" w:type="dxa"/>
            <w:shd w:val="clear" w:color="auto" w:fill="FFFFFF" w:themeFill="background1"/>
            <w:noWrap/>
            <w:tcMar>
              <w:top w:w="0" w:type="dxa"/>
              <w:left w:w="0" w:type="dxa"/>
              <w:bottom w:w="0" w:type="dxa"/>
              <w:right w:w="0" w:type="dxa"/>
            </w:tcMar>
            <w:vAlign w:val="center"/>
          </w:tcPr>
          <w:p w14:paraId="2D2814DC" w14:textId="77777777" w:rsidR="00037711" w:rsidRDefault="00EB5FE5">
            <w:pPr>
              <w:jc w:val="center"/>
            </w:pPr>
            <w:r>
              <w:rPr>
                <w:b/>
              </w:rPr>
              <w:t>Nr.p.k.</w:t>
            </w:r>
          </w:p>
        </w:tc>
        <w:tc>
          <w:tcPr>
            <w:tcW w:w="4055" w:type="dxa"/>
            <w:shd w:val="clear" w:color="auto" w:fill="FFFFFF" w:themeFill="background1"/>
            <w:noWrap/>
            <w:tcMar>
              <w:top w:w="0" w:type="dxa"/>
              <w:left w:w="0" w:type="dxa"/>
              <w:bottom w:w="0" w:type="dxa"/>
              <w:right w:w="0" w:type="dxa"/>
            </w:tcMar>
            <w:vAlign w:val="center"/>
          </w:tcPr>
          <w:p w14:paraId="0BF7694A" w14:textId="77777777" w:rsidR="00037711" w:rsidRDefault="00EB5FE5">
            <w:pPr>
              <w:jc w:val="center"/>
            </w:pPr>
            <w:r>
              <w:rPr>
                <w:b/>
              </w:rPr>
              <w:t>Viedokļa / priekšlikuma / iebilduma iesniedzējs*</w:t>
            </w:r>
          </w:p>
        </w:tc>
        <w:tc>
          <w:tcPr>
            <w:tcW w:w="4056" w:type="dxa"/>
            <w:shd w:val="clear" w:color="auto" w:fill="FFFFFF" w:themeFill="background1"/>
            <w:noWrap/>
            <w:tcMar>
              <w:top w:w="0" w:type="dxa"/>
              <w:left w:w="0" w:type="dxa"/>
              <w:bottom w:w="0" w:type="dxa"/>
              <w:right w:w="0" w:type="dxa"/>
            </w:tcMar>
            <w:vAlign w:val="center"/>
          </w:tcPr>
          <w:p w14:paraId="69D53D2E" w14:textId="77777777" w:rsidR="00037711" w:rsidRDefault="00EB5FE5">
            <w:pPr>
              <w:jc w:val="center"/>
            </w:pPr>
            <w:r>
              <w:rPr>
                <w:b/>
              </w:rPr>
              <w:t>Iesniegtā viedokļa / priekšlikuma / iebilduma būtība</w:t>
            </w:r>
          </w:p>
        </w:tc>
        <w:tc>
          <w:tcPr>
            <w:tcW w:w="1650" w:type="dxa"/>
            <w:shd w:val="clear" w:color="auto" w:fill="FFFFFF" w:themeFill="background1"/>
            <w:noWrap/>
            <w:tcMar>
              <w:top w:w="0" w:type="dxa"/>
              <w:left w:w="0" w:type="dxa"/>
              <w:bottom w:w="0" w:type="dxa"/>
              <w:right w:w="0" w:type="dxa"/>
            </w:tcMar>
            <w:vAlign w:val="center"/>
          </w:tcPr>
          <w:p w14:paraId="484A38B0" w14:textId="77777777" w:rsidR="00037711" w:rsidRDefault="00EB5FE5">
            <w:pPr>
              <w:jc w:val="center"/>
            </w:pPr>
            <w:r>
              <w:rPr>
                <w:b/>
              </w:rPr>
              <w:t>Ņemts vērā / ņemts vērā daļēji / nav ņemts vērā</w:t>
            </w:r>
          </w:p>
        </w:tc>
        <w:tc>
          <w:tcPr>
            <w:tcW w:w="4056" w:type="dxa"/>
            <w:shd w:val="clear" w:color="auto" w:fill="FFFFFF" w:themeFill="background1"/>
            <w:noWrap/>
            <w:tcMar>
              <w:top w:w="0" w:type="dxa"/>
              <w:left w:w="0" w:type="dxa"/>
              <w:bottom w:w="0" w:type="dxa"/>
              <w:right w:w="0" w:type="dxa"/>
            </w:tcMar>
            <w:vAlign w:val="center"/>
          </w:tcPr>
          <w:p w14:paraId="012015BE" w14:textId="77777777" w:rsidR="00037711" w:rsidRDefault="00EB5FE5">
            <w:pPr>
              <w:jc w:val="center"/>
            </w:pPr>
            <w:r>
              <w:rPr>
                <w:b/>
              </w:rPr>
              <w:t>Skaidrojums, kādā veidā viedoklis / priekšlikums / iebildums ir ņemts vērā vai ņemts vērā daļēji, vai pamatojums, ja viedoklis / priekšlikums / iebildums nav ņemts vērā</w:t>
            </w:r>
          </w:p>
        </w:tc>
      </w:tr>
      <w:tr w:rsidR="00037711" w14:paraId="6B8870CC" w14:textId="77777777" w:rsidTr="5D332639">
        <w:tc>
          <w:tcPr>
            <w:tcW w:w="750" w:type="dxa"/>
            <w:shd w:val="clear" w:color="auto" w:fill="FFFFFF" w:themeFill="background1"/>
            <w:noWrap/>
            <w:tcMar>
              <w:top w:w="0" w:type="dxa"/>
              <w:left w:w="0" w:type="dxa"/>
              <w:bottom w:w="0" w:type="dxa"/>
              <w:right w:w="0" w:type="dxa"/>
            </w:tcMar>
            <w:vAlign w:val="center"/>
          </w:tcPr>
          <w:p w14:paraId="0135CBF0" w14:textId="77777777" w:rsidR="00037711" w:rsidRDefault="00EB5FE5">
            <w:pPr>
              <w:jc w:val="center"/>
            </w:pPr>
            <w:r>
              <w:t>1.</w:t>
            </w:r>
          </w:p>
        </w:tc>
        <w:tc>
          <w:tcPr>
            <w:tcW w:w="4055" w:type="dxa"/>
            <w:shd w:val="clear" w:color="auto" w:fill="FFFFFF" w:themeFill="background1"/>
            <w:noWrap/>
            <w:tcMar>
              <w:top w:w="0" w:type="dxa"/>
              <w:left w:w="0" w:type="dxa"/>
              <w:bottom w:w="0" w:type="dxa"/>
              <w:right w:w="0" w:type="dxa"/>
            </w:tcMar>
            <w:vAlign w:val="center"/>
          </w:tcPr>
          <w:p w14:paraId="7BD7FE5F" w14:textId="77777777" w:rsidR="00037711" w:rsidRDefault="00EB5FE5">
            <w:pPr>
              <w:jc w:val="left"/>
            </w:pPr>
            <w:r>
              <w:t>Latvijas Darba devēju konfederācija, Liene Voroņenko</w:t>
            </w:r>
          </w:p>
        </w:tc>
        <w:tc>
          <w:tcPr>
            <w:tcW w:w="4056" w:type="dxa"/>
            <w:shd w:val="clear" w:color="auto" w:fill="FFFFFF" w:themeFill="background1"/>
            <w:noWrap/>
            <w:tcMar>
              <w:top w:w="0" w:type="dxa"/>
              <w:left w:w="0" w:type="dxa"/>
              <w:bottom w:w="0" w:type="dxa"/>
              <w:right w:w="0" w:type="dxa"/>
            </w:tcMar>
            <w:vAlign w:val="center"/>
          </w:tcPr>
          <w:p w14:paraId="5CF5B249" w14:textId="77777777" w:rsidR="00037711" w:rsidRDefault="00EB5FE5">
            <w:pPr>
              <w:jc w:val="left"/>
            </w:pPr>
            <w:r>
              <w:t xml:space="preserve">Pamatojoties uz Izglītības un zinātnes ministrijas virzītajiem grozījumiem pamatizglītības standartā, kas stājās spēkā 2025.gada 6.maijā, anotācijā tika iekļauts skaidrojums, ka standartā plānotais valsts pārbaudes darbs - starpdisciplinārais trīs mācību jomu darbs nepietiekamu testelementu skaita dēļ nav realizējams un tiks aizstāts ar valsts pārbaudes darbu dabaszinātņu jomā, ko darba devēji atbalsta. Ņemot vērā, ka izglītības standarts jau sākotnēji paredzēja starpdisciplinārā darba īstenošanu līdzvērtīgi pārējiem valsts pārbaudes darbiem (Ministru kabineta noteikumu Nr. 747 anotācija, 2018. gada 27. </w:t>
            </w:r>
            <w:r>
              <w:lastRenderedPageBreak/>
              <w:t>novembrī), attiecīgi - centralizētā eksāmena formā, darba devēji izsaka iebildumu pret paredzēto valsts pārbaudes darba plānoto īstenošanu monitoringa darba formā (tiesību akta 4.2.punkts). Laikā no pamatizglītības standarta pieņemšanas 2018.gadā līdz 2025./2026.mācību gadam gan starpdisciplinārā darba norise, gan dabaszinātņu darba īstenošana (diagnostikas darba formā) ir devusi pietiekami plašas iespējas gan darba izstrādes pilnveidei, gan pārejai uz centralizētā eksāmena formu. </w:t>
            </w:r>
            <w:r>
              <w:br/>
              <w:t>Darba devēji vērš uzmanību, ka dabaszinātņu valsts pārbaudes darba īstenošana pamatizglītības noslēguma posmā ir būtiska, lai:</w:t>
            </w:r>
            <w:r>
              <w:br/>
              <w:t xml:space="preserve">1) ieviešot jaunu vispārējās izglītības finansēšanas modeli, nodrošinātu vienlaikus izglītības iestāžu un to dibinātāju atbildību par kvalitatīvu STEM izglītības piedāvājumu 7.-9.klašu posmā. Jau ilgstoši darba devēji ir saņēmuši informāciju, ka izglītības iestādēm </w:t>
            </w:r>
            <w:r>
              <w:lastRenderedPageBreak/>
              <w:t>Latvijā ir problemātiski nodrošināt fizikas, ķīmijas un bioloģijas apguvi, īpaši izglītības iestādēs ar vienu klašu komplektu un tikai pamatizglītības līmeni. Attiecīgi rezultātā pamatizglītības posmā daļa jauniešu neiegūst nepieciešamās zināšanas STEM jomā, kas ļautu viņiem pretendēt uz turpmāku STEM izglītības ieguvi. Vēršam uzmanību, ka E.Siliņas valdības rīcības plānā ir iekļauta prioritāte attiecībā uz kvalitatīva STEM izglītības piedāvājuma nodrošinājumu. Attiecīgi valsts pārbaudes darba īstenošana centralizētā eksāmena formā (nevis monitoringa darba formā) paaugstina izglītības iestādes atbildību, dibinātāja iesaisti un arī mērķtiecīgu rīcībpolitikas virzību, nevis pārliek atbildību par mācību satura apguves kvalitāti tikai uz nepilngadīgo izglītojamo. </w:t>
            </w:r>
            <w:r>
              <w:br/>
              <w:t xml:space="preserve">2) nākamajā izglītības pakāpē (t.sk., profesionālajā izglītībā) ir novērojams, ka uzņemšanas procesā iegūtie vērtējumi nav </w:t>
            </w:r>
            <w:r>
              <w:lastRenderedPageBreak/>
              <w:t xml:space="preserve">pietiekami objektīvs rādītājs, salīdzinot dažādu uzņemamo audzēkņu mācību sniegumu. Nereti tiek konstatēts, ka ar vienādiem vērtējumiem izglītojamo zināšanu līmenis ir būtiski atšķirīgs un tam ir ietekme arī uz izglītojamo spējām turpināt mācības izvēlētajā programmā, veidojot nesamērīgi lielu izglītojamo skaitu, kas priekšlaicīgi pamet STEM izglītības programmu apguvi. Tas rada risku bērnu labākajām interesēm - objektīvai uzņemšanai STEM izglītības programmās. Šie vērtējumi arī nav pietiekami izglītības iestāžu informētībai par uzņemto izglītojamo zināšanu līmeni un preventīvai atbalsta pasākumu plānošanai attiecībā uz mācību priekšmetiem / kursiem, kas vajadzīgi, lai noteiktajā izglītības programmas īstenošanas laikā efektīvi nodrošinātu mācību procesu. Vēršam uzmanību, ka lielākā daļa Latvijas izglītības iestāžu mērķtiecīgi izmanto centralizēto eksāmenu datus, lai </w:t>
            </w:r>
            <w:r>
              <w:lastRenderedPageBreak/>
              <w:t>nodrošinātu gan uzņemšanu, gan veidotu izglītības satura piedāvājumu, kas pielāgots izglītojamo spējām.</w:t>
            </w:r>
            <w:r>
              <w:br/>
            </w:r>
            <w:r>
              <w:br/>
              <w:t xml:space="preserve">Vienlaikus vēršam uzmanību, ka valsts pārbaudes darbu īstenošana ir būtiska ne tikai izglītojamajiem un valsts pārvaldei, bet arī visai sabiedrībai, analizējot izglītojamo sniegumu un tā tendeces. Izvērtējot piedāvātā valsts pārbaudes darbu norises grafiku, aicinām tajā iekļaut arī Valsts izglītības attīstības aģentūrai pienākumu publicēt valsts pārbaudes darbu snieguma novērtējumu, t.sk., konkrētu termiņu, kurā šīs novērtējums tiek publicēts pēc valsts pārbaudes darbu norises. Vēršam uzmanību, ka šādu praksi Izglītības un zinātnes ministrija tika paredzējusi jau anotācijā par pamatizglītības standarta grozījumiem (tiesību akts, kas stājās spēkā 2025.gada 6.maijā). Tajā tika paredzēts publicēt metodiskos materiālus par valsts pārbaudes darbu izpildes </w:t>
            </w:r>
            <w:r>
              <w:lastRenderedPageBreak/>
              <w:t>analīzi līdz 2025.gada 31.decembrim. Vienlaikus uzskatām, ka izpildes analīzes īstenošana 6 mēnešus pēc valsts pārbaudes darbu norises nav pietiekami savlaicīga, attiecīgi aicinām visu valsts pārbaudes darbu analīzē paredzēt, ka izvērtējums izglītības iestādēm un sabiedrībai tiek nodrošināts līdz nākamā mācību gada sākumam 1.septembrī.; </w:t>
            </w:r>
            <w:r>
              <w:br/>
            </w:r>
            <w:r>
              <w:br/>
              <w:t xml:space="preserve">Attiecīgi Latvijas Darba devēju konfederācija, atbilstoši labas pārvaldības praksei rīcībpolitikas jomā, bērnu labākajām interesēm saņemt kvalitatīvu izglītības pakalpojumu un vienlīdzīgas iespējas tikt uzņemtiem nākamajā izglītības pakāpē, aicina atbilstoši iepriekš plānotajam realizēt dabaszinātņu valsts pārbaudes darbu 9.klasēm centralizētā eksāmena formā. Attiecīgi aicinām izmantot šī mācību gada pieredzi šī darba īstenošanā, sniedzot atbalstu izglītības iestādēm un izglītojamo </w:t>
            </w:r>
            <w:r>
              <w:lastRenderedPageBreak/>
              <w:t>mērķa grupai, nodrošinot šī mācību gada darba analītiku un metodisko atbalstu pedagogiem. </w:t>
            </w:r>
          </w:p>
        </w:tc>
        <w:tc>
          <w:tcPr>
            <w:tcW w:w="1650" w:type="dxa"/>
            <w:shd w:val="clear" w:color="auto" w:fill="FFFFFF" w:themeFill="background1"/>
            <w:noWrap/>
            <w:tcMar>
              <w:top w:w="0" w:type="dxa"/>
              <w:left w:w="0" w:type="dxa"/>
              <w:bottom w:w="0" w:type="dxa"/>
              <w:right w:w="0" w:type="dxa"/>
            </w:tcMar>
            <w:vAlign w:val="center"/>
          </w:tcPr>
          <w:p w14:paraId="672A6659" w14:textId="78268C8A" w:rsidR="00037711" w:rsidRDefault="262592C0">
            <w:pPr>
              <w:jc w:val="left"/>
            </w:pPr>
            <w:r>
              <w:lastRenderedPageBreak/>
              <w:t>Nav ņemts vērā.</w:t>
            </w:r>
          </w:p>
        </w:tc>
        <w:tc>
          <w:tcPr>
            <w:tcW w:w="4056" w:type="dxa"/>
            <w:shd w:val="clear" w:color="auto" w:fill="FFFFFF" w:themeFill="background1"/>
            <w:noWrap/>
            <w:tcMar>
              <w:top w:w="0" w:type="dxa"/>
              <w:left w:w="0" w:type="dxa"/>
              <w:bottom w:w="0" w:type="dxa"/>
              <w:right w:w="0" w:type="dxa"/>
            </w:tcMar>
            <w:vAlign w:val="center"/>
          </w:tcPr>
          <w:p w14:paraId="27B025A4" w14:textId="5E7D4577" w:rsidR="00037711" w:rsidRPr="00AB060A" w:rsidRDefault="23C8750A" w:rsidP="155A9581">
            <w:pPr>
              <w:spacing w:before="210" w:after="210" w:line="300" w:lineRule="auto"/>
              <w:jc w:val="left"/>
              <w:rPr>
                <w:rFonts w:ascii="Arial" w:hAnsi="Arial" w:cs="Arial"/>
                <w:sz w:val="24"/>
                <w:szCs w:val="24"/>
              </w:rPr>
            </w:pPr>
            <w:r w:rsidRPr="00AB060A">
              <w:rPr>
                <w:rFonts w:ascii="Arial" w:eastAsia="Segoe UI" w:hAnsi="Arial" w:cs="Arial"/>
                <w:sz w:val="24"/>
                <w:szCs w:val="24"/>
              </w:rPr>
              <w:t>Ņemot vērā, ka Latvijā pašlaik tiek izstrādāts nacionālais skolēnu snieguma vērtēšanas ietvars, kuru Izglītības un zinātnes ministrija īsteno sadarbībā ar OECD ekspertiem, pašreizējā posmā netiek plānotas izmaiņas valsts pārbaudes darbu īstenošanā attiecībā uz monitoringa darbu un centralizēto eksāmenu formu. Vērtēšanas ietvara mērķis ir nodrošināt sistēmisku, pētījumos un starptautiskajā labajā praksē balstītu pieeju skolēnu snieguma izvērtēšanai un izglītības kvalitātes pilnveidei ilgtermiņā.</w:t>
            </w:r>
          </w:p>
          <w:p w14:paraId="079A129E" w14:textId="51923DA8" w:rsidR="00037711" w:rsidRPr="00AB060A" w:rsidRDefault="23C8750A" w:rsidP="155A9581">
            <w:pPr>
              <w:spacing w:before="210" w:after="210" w:line="300" w:lineRule="auto"/>
              <w:jc w:val="left"/>
              <w:rPr>
                <w:rFonts w:ascii="Arial" w:hAnsi="Arial" w:cs="Arial"/>
                <w:sz w:val="24"/>
                <w:szCs w:val="24"/>
              </w:rPr>
            </w:pPr>
            <w:r w:rsidRPr="00AB060A">
              <w:rPr>
                <w:rFonts w:ascii="Arial" w:eastAsia="Segoe UI" w:hAnsi="Arial" w:cs="Arial"/>
                <w:sz w:val="24"/>
                <w:szCs w:val="24"/>
              </w:rPr>
              <w:lastRenderedPageBreak/>
              <w:t>Starptautiskā prakse, tostarp OECD rekomendācijas, uzsver, ka pirms augsta riska (centralizētu) eksāmenu paplašināšanas</w:t>
            </w:r>
            <w:r w:rsidR="00D76206">
              <w:rPr>
                <w:rFonts w:ascii="Arial" w:eastAsia="Segoe UI" w:hAnsi="Arial" w:cs="Arial"/>
                <w:sz w:val="24"/>
                <w:szCs w:val="24"/>
              </w:rPr>
              <w:t>,</w:t>
            </w:r>
            <w:r w:rsidRPr="00AB060A">
              <w:rPr>
                <w:rFonts w:ascii="Arial" w:eastAsia="Segoe UI" w:hAnsi="Arial" w:cs="Arial"/>
                <w:sz w:val="24"/>
                <w:szCs w:val="24"/>
              </w:rPr>
              <w:t xml:space="preserve"> primāri ir jārisina mācību satura apguves kvalitātes jautājumi, īpaši gadījumos, kad pastāv būtiski sistēmiski izaicinājumi – nevienmērīga mācību satura īstenošana, skolotāju trūkums un atšķirīga skolu kapacitāte. Šādos apstākļos monitoringa  darbi ir efektīvāks instruments, lai iegūtu salīdzināmus datus un mērķtiecīgi plānotu atbalsta pasākumus skolām un pedagogiem.</w:t>
            </w:r>
          </w:p>
          <w:p w14:paraId="437CA6B3" w14:textId="5BC9147C" w:rsidR="00037711" w:rsidRPr="00AB060A" w:rsidRDefault="23C8750A" w:rsidP="155A9581">
            <w:pPr>
              <w:spacing w:before="210" w:after="210" w:line="300" w:lineRule="auto"/>
              <w:jc w:val="left"/>
              <w:rPr>
                <w:rFonts w:ascii="Arial" w:eastAsia="Segoe UI" w:hAnsi="Arial" w:cs="Arial"/>
                <w:sz w:val="24"/>
                <w:szCs w:val="24"/>
              </w:rPr>
            </w:pPr>
            <w:r w:rsidRPr="00AB060A">
              <w:rPr>
                <w:rFonts w:ascii="Arial" w:eastAsia="Segoe UI" w:hAnsi="Arial" w:cs="Arial"/>
                <w:sz w:val="24"/>
                <w:szCs w:val="24"/>
              </w:rPr>
              <w:t xml:space="preserve">Attiecībā uz dabaszinātņu mācību jomu norādām, ka pamatizglītības standarts paredz vienotu mācību priekšmetu “dabaszinības”, taču praksē lielākajā daļā izglītības iestāžu joprojām tiek īstenota sadrumstalota pieeja (fizika, ķīmija, bioloģija). Šī situācija apliecina nepieciešamību vispirms stiprināt satura apguvi un pedagogu profesionālo kapacitāti, </w:t>
            </w:r>
            <w:r w:rsidRPr="00AB060A">
              <w:rPr>
                <w:rFonts w:ascii="Arial" w:eastAsia="Segoe UI" w:hAnsi="Arial" w:cs="Arial"/>
                <w:sz w:val="24"/>
                <w:szCs w:val="24"/>
              </w:rPr>
              <w:lastRenderedPageBreak/>
              <w:t>nevis palielināt pārbaudījuma formālo nozīmi.</w:t>
            </w:r>
          </w:p>
          <w:p w14:paraId="625EF014" w14:textId="6B1E3519" w:rsidR="00037711" w:rsidRPr="00AB060A" w:rsidRDefault="23C8750A" w:rsidP="155A9581">
            <w:pPr>
              <w:spacing w:before="210" w:after="210" w:line="300" w:lineRule="auto"/>
              <w:jc w:val="left"/>
              <w:rPr>
                <w:rFonts w:ascii="Arial" w:eastAsia="Segoe UI" w:hAnsi="Arial" w:cs="Arial"/>
                <w:sz w:val="24"/>
                <w:szCs w:val="24"/>
              </w:rPr>
            </w:pPr>
            <w:r w:rsidRPr="00AB060A">
              <w:rPr>
                <w:rFonts w:ascii="Arial" w:eastAsia="Segoe UI" w:hAnsi="Arial" w:cs="Arial"/>
                <w:sz w:val="24"/>
                <w:szCs w:val="24"/>
              </w:rPr>
              <w:t xml:space="preserve">Ņemot vērā skolēnu labākās intereses un vienlīdzīgu iespēju principu, ministrija uzskata, ka centralizētā eksāmena ieviešana radītu nesamērīgu risku skolēniem un neatbilstu vērtēšanas mērķim. Tādēļ monitoringa darbs dabaszinātņu jomā šobrīd tiek </w:t>
            </w:r>
            <w:r w:rsidR="412F0C63" w:rsidRPr="00AB060A">
              <w:rPr>
                <w:rFonts w:ascii="Arial" w:eastAsia="Segoe UI" w:hAnsi="Arial" w:cs="Arial"/>
                <w:sz w:val="24"/>
                <w:szCs w:val="24"/>
              </w:rPr>
              <w:t>saglabāts un</w:t>
            </w:r>
            <w:r w:rsidRPr="00AB060A">
              <w:rPr>
                <w:rFonts w:ascii="Arial" w:eastAsia="Segoe UI" w:hAnsi="Arial" w:cs="Arial"/>
                <w:sz w:val="24"/>
                <w:szCs w:val="24"/>
              </w:rPr>
              <w:t xml:space="preserve"> </w:t>
            </w:r>
            <w:r w:rsidR="5D3A9030" w:rsidRPr="00AB060A">
              <w:rPr>
                <w:rFonts w:ascii="Arial" w:eastAsia="Segoe UI" w:hAnsi="Arial" w:cs="Arial"/>
                <w:sz w:val="24"/>
                <w:szCs w:val="24"/>
              </w:rPr>
              <w:t xml:space="preserve">tā </w:t>
            </w:r>
            <w:r w:rsidRPr="00AB060A">
              <w:rPr>
                <w:rFonts w:ascii="Arial" w:eastAsia="Segoe UI" w:hAnsi="Arial" w:cs="Arial"/>
                <w:sz w:val="24"/>
                <w:szCs w:val="24"/>
              </w:rPr>
              <w:t xml:space="preserve">rezultāti tiks izmantoti izglītības kvalitātes analīzei, atbalsta pasākumu plānošanai un politikas lēmumu sagatavošanai. </w:t>
            </w:r>
            <w:r w:rsidRPr="00AB060A">
              <w:rPr>
                <w:rFonts w:ascii="Arial" w:hAnsi="Arial" w:cs="Arial"/>
                <w:sz w:val="24"/>
                <w:szCs w:val="24"/>
              </w:rPr>
              <w:t xml:space="preserve"> </w:t>
            </w:r>
          </w:p>
          <w:p w14:paraId="2B185E01" w14:textId="77777777" w:rsidR="00050496" w:rsidRPr="00AB060A" w:rsidRDefault="00050496" w:rsidP="5D332639">
            <w:pPr>
              <w:spacing w:line="259" w:lineRule="auto"/>
              <w:jc w:val="left"/>
              <w:rPr>
                <w:rFonts w:ascii="Arial" w:hAnsi="Arial" w:cs="Arial"/>
                <w:sz w:val="24"/>
                <w:szCs w:val="24"/>
              </w:rPr>
            </w:pPr>
          </w:p>
          <w:p w14:paraId="0A37501D" w14:textId="4B4DB0D0" w:rsidR="00037711" w:rsidRPr="00AB060A" w:rsidRDefault="76973EF4" w:rsidP="5D332639">
            <w:pPr>
              <w:spacing w:line="259" w:lineRule="auto"/>
              <w:jc w:val="left"/>
              <w:rPr>
                <w:rFonts w:ascii="Arial" w:hAnsi="Arial" w:cs="Arial"/>
                <w:sz w:val="24"/>
                <w:szCs w:val="24"/>
              </w:rPr>
            </w:pPr>
            <w:r w:rsidRPr="00AB060A">
              <w:rPr>
                <w:rFonts w:ascii="Arial" w:hAnsi="Arial" w:cs="Arial"/>
                <w:sz w:val="24"/>
                <w:szCs w:val="24"/>
              </w:rPr>
              <w:t xml:space="preserve">Pēc valsts pārbaudes darbu </w:t>
            </w:r>
            <w:r w:rsidR="25CCB739" w:rsidRPr="00AB060A">
              <w:rPr>
                <w:rFonts w:ascii="Arial" w:hAnsi="Arial" w:cs="Arial"/>
                <w:sz w:val="24"/>
                <w:szCs w:val="24"/>
              </w:rPr>
              <w:t>novērtēšanas</w:t>
            </w:r>
            <w:r w:rsidRPr="00AB060A">
              <w:rPr>
                <w:rFonts w:ascii="Arial" w:hAnsi="Arial" w:cs="Arial"/>
                <w:sz w:val="24"/>
                <w:szCs w:val="24"/>
              </w:rPr>
              <w:t xml:space="preserve"> un rezultātu paziņošanas </w:t>
            </w:r>
            <w:r w:rsidR="028545C6" w:rsidRPr="00AB060A">
              <w:rPr>
                <w:rFonts w:ascii="Arial" w:hAnsi="Arial" w:cs="Arial"/>
                <w:sz w:val="24"/>
                <w:szCs w:val="24"/>
              </w:rPr>
              <w:t>izglītības iestādēm ir iespējams</w:t>
            </w:r>
            <w:r w:rsidR="00ED3896">
              <w:rPr>
                <w:rFonts w:ascii="Arial" w:hAnsi="Arial" w:cs="Arial"/>
                <w:sz w:val="24"/>
                <w:szCs w:val="24"/>
              </w:rPr>
              <w:t xml:space="preserve"> būs</w:t>
            </w:r>
            <w:r w:rsidR="028545C6" w:rsidRPr="00AB060A">
              <w:rPr>
                <w:rFonts w:ascii="Arial" w:hAnsi="Arial" w:cs="Arial"/>
                <w:sz w:val="24"/>
                <w:szCs w:val="24"/>
              </w:rPr>
              <w:t xml:space="preserve"> iepazīties </w:t>
            </w:r>
            <w:r w:rsidR="009273D9">
              <w:rPr>
                <w:rFonts w:ascii="Arial" w:hAnsi="Arial" w:cs="Arial"/>
                <w:sz w:val="24"/>
                <w:szCs w:val="24"/>
              </w:rPr>
              <w:t xml:space="preserve"> gan </w:t>
            </w:r>
            <w:r w:rsidR="028545C6" w:rsidRPr="00AB060A">
              <w:rPr>
                <w:rFonts w:ascii="Arial" w:hAnsi="Arial" w:cs="Arial"/>
                <w:sz w:val="24"/>
                <w:szCs w:val="24"/>
              </w:rPr>
              <w:t>ar monitoringa darb</w:t>
            </w:r>
            <w:r w:rsidR="00BC082D">
              <w:rPr>
                <w:rFonts w:ascii="Arial" w:hAnsi="Arial" w:cs="Arial"/>
                <w:sz w:val="24"/>
                <w:szCs w:val="24"/>
              </w:rPr>
              <w:t>u</w:t>
            </w:r>
            <w:r w:rsidR="009273D9">
              <w:rPr>
                <w:rFonts w:ascii="Arial" w:hAnsi="Arial" w:cs="Arial"/>
                <w:sz w:val="24"/>
                <w:szCs w:val="24"/>
              </w:rPr>
              <w:t>, gan ar centralizēt</w:t>
            </w:r>
            <w:r w:rsidR="00BC082D">
              <w:rPr>
                <w:rFonts w:ascii="Arial" w:hAnsi="Arial" w:cs="Arial"/>
                <w:sz w:val="24"/>
                <w:szCs w:val="24"/>
              </w:rPr>
              <w:t>o eks</w:t>
            </w:r>
            <w:r w:rsidR="002D65E2">
              <w:rPr>
                <w:rFonts w:ascii="Arial" w:hAnsi="Arial" w:cs="Arial"/>
                <w:sz w:val="24"/>
                <w:szCs w:val="24"/>
              </w:rPr>
              <w:t>ā</w:t>
            </w:r>
            <w:r w:rsidR="00BC082D">
              <w:rPr>
                <w:rFonts w:ascii="Arial" w:hAnsi="Arial" w:cs="Arial"/>
                <w:sz w:val="24"/>
                <w:szCs w:val="24"/>
              </w:rPr>
              <w:t>menu</w:t>
            </w:r>
            <w:r w:rsidR="002D65E2">
              <w:rPr>
                <w:rFonts w:ascii="Arial" w:hAnsi="Arial" w:cs="Arial"/>
                <w:sz w:val="24"/>
                <w:szCs w:val="24"/>
              </w:rPr>
              <w:t xml:space="preserve"> </w:t>
            </w:r>
            <w:r w:rsidR="028545C6" w:rsidRPr="00AB060A">
              <w:rPr>
                <w:rFonts w:ascii="Arial" w:hAnsi="Arial" w:cs="Arial"/>
                <w:sz w:val="24"/>
                <w:szCs w:val="24"/>
              </w:rPr>
              <w:t>rezultātiem</w:t>
            </w:r>
            <w:r w:rsidR="002D65E2">
              <w:rPr>
                <w:rFonts w:ascii="Arial" w:hAnsi="Arial" w:cs="Arial"/>
                <w:sz w:val="24"/>
                <w:szCs w:val="24"/>
              </w:rPr>
              <w:t xml:space="preserve">; </w:t>
            </w:r>
            <w:r w:rsidR="7259799D" w:rsidRPr="00AB060A">
              <w:rPr>
                <w:rFonts w:ascii="Arial" w:hAnsi="Arial" w:cs="Arial"/>
                <w:sz w:val="24"/>
                <w:szCs w:val="24"/>
              </w:rPr>
              <w:t xml:space="preserve"> pēc apelācijām, ievērojot administratīv</w:t>
            </w:r>
            <w:r w:rsidR="073846C0" w:rsidRPr="00AB060A">
              <w:rPr>
                <w:rFonts w:ascii="Arial" w:hAnsi="Arial" w:cs="Arial"/>
                <w:sz w:val="24"/>
                <w:szCs w:val="24"/>
              </w:rPr>
              <w:t>ajā</w:t>
            </w:r>
            <w:r w:rsidR="7259799D" w:rsidRPr="00AB060A">
              <w:rPr>
                <w:rFonts w:ascii="Arial" w:hAnsi="Arial" w:cs="Arial"/>
                <w:sz w:val="24"/>
                <w:szCs w:val="24"/>
              </w:rPr>
              <w:t xml:space="preserve"> likumdoša</w:t>
            </w:r>
            <w:r w:rsidR="07592928" w:rsidRPr="00AB060A">
              <w:rPr>
                <w:rFonts w:ascii="Arial" w:hAnsi="Arial" w:cs="Arial"/>
                <w:sz w:val="24"/>
                <w:szCs w:val="24"/>
              </w:rPr>
              <w:t>nā noteiktos termiņus</w:t>
            </w:r>
            <w:r w:rsidR="7259799D" w:rsidRPr="00AB060A">
              <w:rPr>
                <w:rFonts w:ascii="Arial" w:hAnsi="Arial" w:cs="Arial"/>
                <w:sz w:val="24"/>
                <w:szCs w:val="24"/>
              </w:rPr>
              <w:t xml:space="preserve">, </w:t>
            </w:r>
            <w:r w:rsidR="1AB05C3B" w:rsidRPr="00AB060A">
              <w:rPr>
                <w:rFonts w:ascii="Arial" w:hAnsi="Arial" w:cs="Arial"/>
                <w:sz w:val="24"/>
                <w:szCs w:val="24"/>
              </w:rPr>
              <w:t xml:space="preserve"> septembrī tiek apkopoti visu 30 valsts pārbaudes darbu rezultāti</w:t>
            </w:r>
            <w:r w:rsidR="4D1BCA2C" w:rsidRPr="00AB060A">
              <w:rPr>
                <w:rFonts w:ascii="Arial" w:hAnsi="Arial" w:cs="Arial"/>
                <w:sz w:val="24"/>
                <w:szCs w:val="24"/>
              </w:rPr>
              <w:t>. Metodiski materiāli</w:t>
            </w:r>
            <w:r w:rsidR="1E65399F" w:rsidRPr="00AB060A">
              <w:rPr>
                <w:rFonts w:ascii="Arial" w:hAnsi="Arial" w:cs="Arial"/>
                <w:sz w:val="24"/>
                <w:szCs w:val="24"/>
              </w:rPr>
              <w:t xml:space="preserve">, kuros tiek analizēti skolēnu sniegumi, tiek izstrādāti tikai pēc </w:t>
            </w:r>
            <w:r w:rsidR="74F46C95" w:rsidRPr="00AB060A">
              <w:rPr>
                <w:rFonts w:ascii="Arial" w:hAnsi="Arial" w:cs="Arial"/>
                <w:sz w:val="24"/>
                <w:szCs w:val="24"/>
              </w:rPr>
              <w:lastRenderedPageBreak/>
              <w:t>apelācijām</w:t>
            </w:r>
            <w:r w:rsidR="1E65399F" w:rsidRPr="00AB060A">
              <w:rPr>
                <w:rFonts w:ascii="Arial" w:hAnsi="Arial" w:cs="Arial"/>
                <w:sz w:val="24"/>
                <w:szCs w:val="24"/>
              </w:rPr>
              <w:t xml:space="preserve">, jo </w:t>
            </w:r>
            <w:r w:rsidR="712DDD7B" w:rsidRPr="00AB060A">
              <w:rPr>
                <w:rFonts w:ascii="Arial" w:hAnsi="Arial" w:cs="Arial"/>
                <w:sz w:val="24"/>
                <w:szCs w:val="24"/>
              </w:rPr>
              <w:t xml:space="preserve">apelāciju </w:t>
            </w:r>
            <w:r w:rsidR="4EB6880C" w:rsidRPr="00AB060A">
              <w:rPr>
                <w:rFonts w:ascii="Arial" w:hAnsi="Arial" w:cs="Arial"/>
                <w:sz w:val="24"/>
                <w:szCs w:val="24"/>
              </w:rPr>
              <w:t>vērtētāji</w:t>
            </w:r>
            <w:r w:rsidR="712DDD7B" w:rsidRPr="00AB060A">
              <w:rPr>
                <w:rFonts w:ascii="Arial" w:hAnsi="Arial" w:cs="Arial"/>
                <w:sz w:val="24"/>
                <w:szCs w:val="24"/>
              </w:rPr>
              <w:t xml:space="preserve"> vislabāk izprot skolēnu dažādos sniegumus</w:t>
            </w:r>
            <w:r w:rsidR="7AC526F5" w:rsidRPr="00AB060A">
              <w:rPr>
                <w:rFonts w:ascii="Arial" w:hAnsi="Arial" w:cs="Arial"/>
                <w:sz w:val="24"/>
                <w:szCs w:val="24"/>
              </w:rPr>
              <w:t>. Metodisko līdzekļu autori ir valsts pārbaudes darbu autori, vērtētāji, apelāciju vērtēji</w:t>
            </w:r>
            <w:r w:rsidR="7D5298B8" w:rsidRPr="00AB060A">
              <w:rPr>
                <w:rFonts w:ascii="Arial" w:hAnsi="Arial" w:cs="Arial"/>
                <w:sz w:val="24"/>
                <w:szCs w:val="24"/>
              </w:rPr>
              <w:t xml:space="preserve">, kuri metodikas izstrādi veic paralēli saviem </w:t>
            </w:r>
            <w:r w:rsidR="46C90811" w:rsidRPr="00AB060A">
              <w:rPr>
                <w:rFonts w:ascii="Arial" w:hAnsi="Arial" w:cs="Arial"/>
                <w:sz w:val="24"/>
                <w:szCs w:val="24"/>
              </w:rPr>
              <w:t>tiešajiem pienākumiem pamatdarbā.</w:t>
            </w:r>
          </w:p>
        </w:tc>
      </w:tr>
      <w:tr w:rsidR="00037711" w14:paraId="4964E9F2" w14:textId="77777777" w:rsidTr="5D332639">
        <w:tc>
          <w:tcPr>
            <w:tcW w:w="750" w:type="dxa"/>
            <w:shd w:val="clear" w:color="auto" w:fill="FFFFFF" w:themeFill="background1"/>
            <w:noWrap/>
            <w:tcMar>
              <w:top w:w="0" w:type="dxa"/>
              <w:left w:w="0" w:type="dxa"/>
              <w:bottom w:w="0" w:type="dxa"/>
              <w:right w:w="0" w:type="dxa"/>
            </w:tcMar>
            <w:vAlign w:val="center"/>
          </w:tcPr>
          <w:p w14:paraId="47886996" w14:textId="77777777" w:rsidR="00037711" w:rsidRDefault="00EB5FE5">
            <w:pPr>
              <w:jc w:val="center"/>
            </w:pPr>
            <w:r>
              <w:lastRenderedPageBreak/>
              <w:t>2.</w:t>
            </w:r>
          </w:p>
        </w:tc>
        <w:tc>
          <w:tcPr>
            <w:tcW w:w="4055" w:type="dxa"/>
            <w:shd w:val="clear" w:color="auto" w:fill="FFFFFF" w:themeFill="background1"/>
            <w:noWrap/>
            <w:tcMar>
              <w:top w:w="0" w:type="dxa"/>
              <w:left w:w="0" w:type="dxa"/>
              <w:bottom w:w="0" w:type="dxa"/>
              <w:right w:w="0" w:type="dxa"/>
            </w:tcMar>
            <w:vAlign w:val="center"/>
          </w:tcPr>
          <w:p w14:paraId="44DFED75" w14:textId="77777777" w:rsidR="00037711" w:rsidRDefault="00EB5FE5">
            <w:pPr>
              <w:jc w:val="left"/>
            </w:pPr>
            <w:r>
              <w:t>Biedrība "Latvijas Lielo pilsētu asociācija"</w:t>
            </w:r>
          </w:p>
        </w:tc>
        <w:tc>
          <w:tcPr>
            <w:tcW w:w="4056" w:type="dxa"/>
            <w:shd w:val="clear" w:color="auto" w:fill="FFFFFF" w:themeFill="background1"/>
            <w:noWrap/>
            <w:tcMar>
              <w:top w:w="0" w:type="dxa"/>
              <w:left w:w="0" w:type="dxa"/>
              <w:bottom w:w="0" w:type="dxa"/>
              <w:right w:w="0" w:type="dxa"/>
            </w:tcMar>
            <w:vAlign w:val="center"/>
          </w:tcPr>
          <w:p w14:paraId="376679A7" w14:textId="77777777" w:rsidR="00037711" w:rsidRDefault="00EB5FE5">
            <w:pPr>
              <w:jc w:val="left"/>
            </w:pPr>
            <w:r>
              <w:rPr>
                <w:i/>
              </w:rPr>
              <w:t>"Centralizētie eksāmeni notiek:7.2. optimālajā mācību satura apguves līmenī:7.2.1. latviešu valodā – rakstu daļa – 2027. gada 17.maijā, mutvārdu daļa – 17., 18.un 19.maijā;7.2.2.fizikā – 2027. gada 21. maijā;7.2.3. ķīmijā – 2027. gada 24. maijā;7.2.4. bioloģijā – 2027. gada 26. maijā;7.2.5.matemātikā – 2027. gada 28.maijā;"</w:t>
            </w:r>
            <w:r>
              <w:br/>
            </w:r>
            <w:r>
              <w:br/>
            </w:r>
            <w:r>
              <w:rPr>
                <w:b/>
                <w:u w:val="single"/>
              </w:rPr>
              <w:t>Priekšlikums.</w:t>
            </w:r>
            <w:r>
              <w:br/>
              <w:t>Aicinām IZM izvērtēt iespēju  optimālā līmeņa eksāmenus organizēt – jūnijā, nodrošinot 10. un 11.klašu skolēniem pilnvērtīgu mācību procesu un labāku sagatavošanos eksāmeniem.</w:t>
            </w:r>
          </w:p>
        </w:tc>
        <w:tc>
          <w:tcPr>
            <w:tcW w:w="1650" w:type="dxa"/>
            <w:shd w:val="clear" w:color="auto" w:fill="FFFFFF" w:themeFill="background1"/>
            <w:noWrap/>
            <w:tcMar>
              <w:top w:w="0" w:type="dxa"/>
              <w:left w:w="0" w:type="dxa"/>
              <w:bottom w:w="0" w:type="dxa"/>
              <w:right w:w="0" w:type="dxa"/>
            </w:tcMar>
            <w:vAlign w:val="center"/>
          </w:tcPr>
          <w:p w14:paraId="5DAB6C7B" w14:textId="51E7712C" w:rsidR="00037711" w:rsidRDefault="3E42C21B">
            <w:pPr>
              <w:jc w:val="left"/>
            </w:pPr>
            <w:r>
              <w:t>Nav ņemts vērā.</w:t>
            </w:r>
          </w:p>
        </w:tc>
        <w:tc>
          <w:tcPr>
            <w:tcW w:w="4056" w:type="dxa"/>
            <w:shd w:val="clear" w:color="auto" w:fill="FFFFFF" w:themeFill="background1"/>
            <w:noWrap/>
            <w:tcMar>
              <w:top w:w="0" w:type="dxa"/>
              <w:left w:w="0" w:type="dxa"/>
              <w:bottom w:w="0" w:type="dxa"/>
              <w:right w:w="0" w:type="dxa"/>
            </w:tcMar>
            <w:vAlign w:val="center"/>
          </w:tcPr>
          <w:p w14:paraId="2829A4D6" w14:textId="77777777" w:rsidR="00D76206" w:rsidRPr="00D76206" w:rsidRDefault="00D76206" w:rsidP="00D76206">
            <w:pPr>
              <w:jc w:val="left"/>
            </w:pPr>
            <w:r w:rsidRPr="00D76206">
              <w:t>Izvērtējot priekšlikumu par optimālā līmeņa centralizēto eksāmenu organizēšanu jūnijā, Izglītības un zinātnes ministrija norāda, ka valsts pārbaudes darbi tiek plānoti mācību gada ietvaros, ievērojot normatīvajos aktos noteiktos mācību gada beigu termiņus (Vispārējās izglītības likuma 46. panta 1.punkts un Ministru kabineta 2025.gada 16.decembra noteikumiem Nr.768 “Noteikumi par 2026./2027. mācību gada un mācību semestru sākuma un beigu laiku un brīvdienu laiku” 3. punkts).</w:t>
            </w:r>
          </w:p>
          <w:p w14:paraId="60A55B64" w14:textId="77777777" w:rsidR="00D76206" w:rsidRPr="00D76206" w:rsidRDefault="00D76206" w:rsidP="00D76206">
            <w:pPr>
              <w:jc w:val="left"/>
            </w:pPr>
            <w:r w:rsidRPr="00D76206">
              <w:t>Saskaņā ar spēkā esošo regulējumu 10.–11. klašu skolēniem mācību gads 2026./2027. gadā beidzas 31. maijā, līdz ar to centralizēto eksāmenu norise jūnijā šobrīd pārsniegtu mācību gada ietvaru un prasītu attiecīgus normatīvā regulējuma grozījumus.</w:t>
            </w:r>
          </w:p>
          <w:p w14:paraId="42AFE744" w14:textId="77777777" w:rsidR="00D76206" w:rsidRPr="00D76206" w:rsidRDefault="00D76206" w:rsidP="00D76206">
            <w:pPr>
              <w:jc w:val="left"/>
            </w:pPr>
            <w:r w:rsidRPr="00D76206">
              <w:lastRenderedPageBreak/>
              <w:t>Vienlaikus eksāmenu grafiks ir izstrādāts tā, lai nodrošinātu visu valsts pārbaudes darbu norisi līdz mācību gada beigām, ievērotu Veselības ministrijas ieteikumu par vismaz 24 stundu intervālu starp pārbaudījumiem un sabalansētu skolēnu slodzi eksāmenu periodā. Grafika ietvaros vienlaikus tiek organizēti gan optimālā, gan augstākā līmeņa eksāmeni, kā arī ņemts vērā sabiedrības viedoklis par sertifikātu izsniegšanu ne vēlāk kā līdz 3. jūlijam.</w:t>
            </w:r>
          </w:p>
          <w:p w14:paraId="02EB378F" w14:textId="6F1BE0E0" w:rsidR="00037711" w:rsidRDefault="00D76206">
            <w:pPr>
              <w:jc w:val="left"/>
            </w:pPr>
            <w:r w:rsidRPr="00D76206">
              <w:t> Vienlaikus ministrija ņems vērā izteikto priekšlikumu un, plānojot turpmāko normatīvā regulējuma pilnveidi, izvērtēs iespējas pārskatīt eksāmenu daudzumu un norises laiku.</w:t>
            </w:r>
          </w:p>
        </w:tc>
      </w:tr>
    </w:tbl>
    <w:p w14:paraId="6A05A809" w14:textId="77777777" w:rsidR="00037711" w:rsidRDefault="00037711"/>
    <w:tbl>
      <w:tblPr>
        <w:tblStyle w:val="a"/>
        <w:tblW w:w="14567" w:type="dxa"/>
        <w:tblLayout w:type="fixed"/>
        <w:tblLook w:val="0600" w:firstRow="0" w:lastRow="0" w:firstColumn="0" w:lastColumn="0" w:noHBand="1" w:noVBand="1"/>
      </w:tblPr>
      <w:tblGrid>
        <w:gridCol w:w="4855"/>
        <w:gridCol w:w="4856"/>
        <w:gridCol w:w="4856"/>
      </w:tblGrid>
      <w:tr w:rsidR="00037711" w14:paraId="2C4D3246" w14:textId="77777777">
        <w:tc>
          <w:tcPr>
            <w:tcW w:w="4855" w:type="dxa"/>
            <w:shd w:val="clear" w:color="auto" w:fill="FFFFFF"/>
            <w:noWrap/>
            <w:tcMar>
              <w:top w:w="0" w:type="dxa"/>
              <w:left w:w="0" w:type="dxa"/>
              <w:bottom w:w="0" w:type="dxa"/>
              <w:right w:w="0" w:type="dxa"/>
            </w:tcMar>
            <w:vAlign w:val="center"/>
          </w:tcPr>
          <w:p w14:paraId="3D65C14E" w14:textId="77777777" w:rsidR="00037711" w:rsidRDefault="00EB5FE5">
            <w:pPr>
              <w:jc w:val="left"/>
            </w:pPr>
            <w:r>
              <w:t>Datums**</w:t>
            </w:r>
          </w:p>
        </w:tc>
        <w:tc>
          <w:tcPr>
            <w:tcW w:w="4856" w:type="dxa"/>
            <w:shd w:val="clear" w:color="auto" w:fill="FFFFFF"/>
            <w:noWrap/>
            <w:tcMar>
              <w:top w:w="0" w:type="dxa"/>
              <w:left w:w="0" w:type="dxa"/>
              <w:bottom w:w="0" w:type="dxa"/>
              <w:right w:w="0" w:type="dxa"/>
            </w:tcMar>
            <w:vAlign w:val="center"/>
          </w:tcPr>
          <w:p w14:paraId="5A39BBE3" w14:textId="77777777" w:rsidR="00037711" w:rsidRDefault="00037711">
            <w:pPr>
              <w:pBdr>
                <w:bottom w:val="single" w:sz="10" w:space="1" w:color="000000"/>
              </w:pBdr>
            </w:pPr>
          </w:p>
        </w:tc>
        <w:tc>
          <w:tcPr>
            <w:tcW w:w="4856" w:type="dxa"/>
            <w:shd w:val="clear" w:color="auto" w:fill="FFFFFF"/>
            <w:noWrap/>
            <w:tcMar>
              <w:top w:w="0" w:type="dxa"/>
              <w:left w:w="0" w:type="dxa"/>
              <w:bottom w:w="0" w:type="dxa"/>
              <w:right w:w="0" w:type="dxa"/>
            </w:tcMar>
            <w:vAlign w:val="center"/>
          </w:tcPr>
          <w:p w14:paraId="41C8F396" w14:textId="77777777" w:rsidR="00037711" w:rsidRDefault="00037711"/>
        </w:tc>
      </w:tr>
      <w:tr w:rsidR="00037711" w14:paraId="0292DD2C" w14:textId="77777777">
        <w:tc>
          <w:tcPr>
            <w:tcW w:w="4855" w:type="dxa"/>
            <w:shd w:val="clear" w:color="auto" w:fill="FFFFFF"/>
            <w:noWrap/>
            <w:tcMar>
              <w:top w:w="0" w:type="dxa"/>
              <w:left w:w="0" w:type="dxa"/>
              <w:bottom w:w="0" w:type="dxa"/>
              <w:right w:w="0" w:type="dxa"/>
            </w:tcMar>
            <w:vAlign w:val="center"/>
          </w:tcPr>
          <w:p w14:paraId="72A3D3EC" w14:textId="77777777" w:rsidR="00037711" w:rsidRDefault="00037711"/>
        </w:tc>
        <w:tc>
          <w:tcPr>
            <w:tcW w:w="4856" w:type="dxa"/>
            <w:shd w:val="clear" w:color="auto" w:fill="FFFFFF"/>
            <w:noWrap/>
            <w:tcMar>
              <w:top w:w="0" w:type="dxa"/>
              <w:left w:w="0" w:type="dxa"/>
              <w:bottom w:w="0" w:type="dxa"/>
              <w:right w:w="0" w:type="dxa"/>
            </w:tcMar>
            <w:vAlign w:val="center"/>
          </w:tcPr>
          <w:p w14:paraId="19D6DDD0" w14:textId="77777777" w:rsidR="00037711" w:rsidRDefault="00EB5FE5">
            <w:pPr>
              <w:jc w:val="center"/>
            </w:pPr>
            <w:r>
              <w:t>(dd.mm.gggg)</w:t>
            </w:r>
          </w:p>
        </w:tc>
        <w:tc>
          <w:tcPr>
            <w:tcW w:w="4856" w:type="dxa"/>
            <w:shd w:val="clear" w:color="auto" w:fill="FFFFFF"/>
            <w:noWrap/>
            <w:tcMar>
              <w:top w:w="0" w:type="dxa"/>
              <w:left w:w="0" w:type="dxa"/>
              <w:bottom w:w="0" w:type="dxa"/>
              <w:right w:w="0" w:type="dxa"/>
            </w:tcMar>
            <w:vAlign w:val="center"/>
          </w:tcPr>
          <w:p w14:paraId="0D0B940D" w14:textId="77777777" w:rsidR="00037711" w:rsidRDefault="00037711"/>
        </w:tc>
      </w:tr>
      <w:tr w:rsidR="00037711" w14:paraId="7A0B6A7B" w14:textId="77777777">
        <w:tc>
          <w:tcPr>
            <w:tcW w:w="4855" w:type="dxa"/>
            <w:shd w:val="clear" w:color="auto" w:fill="FFFFFF"/>
            <w:noWrap/>
            <w:tcMar>
              <w:top w:w="0" w:type="dxa"/>
              <w:left w:w="0" w:type="dxa"/>
              <w:bottom w:w="0" w:type="dxa"/>
              <w:right w:w="0" w:type="dxa"/>
            </w:tcMar>
            <w:vAlign w:val="center"/>
          </w:tcPr>
          <w:p w14:paraId="026348C1" w14:textId="77777777" w:rsidR="00037711" w:rsidRDefault="00EB5FE5">
            <w:pPr>
              <w:jc w:val="left"/>
            </w:pPr>
            <w:r>
              <w:t>Atbildīgā persona</w:t>
            </w:r>
          </w:p>
        </w:tc>
        <w:tc>
          <w:tcPr>
            <w:tcW w:w="4856" w:type="dxa"/>
            <w:shd w:val="clear" w:color="auto" w:fill="FFFFFF"/>
            <w:noWrap/>
            <w:tcMar>
              <w:top w:w="0" w:type="dxa"/>
              <w:left w:w="0" w:type="dxa"/>
              <w:bottom w:w="0" w:type="dxa"/>
              <w:right w:w="0" w:type="dxa"/>
            </w:tcMar>
            <w:vAlign w:val="center"/>
          </w:tcPr>
          <w:p w14:paraId="0E27B00A" w14:textId="77777777" w:rsidR="00037711" w:rsidRDefault="00037711">
            <w:pPr>
              <w:pBdr>
                <w:bottom w:val="single" w:sz="10" w:space="1" w:color="000000"/>
              </w:pBdr>
            </w:pPr>
          </w:p>
        </w:tc>
        <w:tc>
          <w:tcPr>
            <w:tcW w:w="4856" w:type="dxa"/>
            <w:shd w:val="clear" w:color="auto" w:fill="FFFFFF"/>
            <w:noWrap/>
            <w:tcMar>
              <w:top w:w="0" w:type="dxa"/>
              <w:left w:w="0" w:type="dxa"/>
              <w:bottom w:w="0" w:type="dxa"/>
              <w:right w:w="0" w:type="dxa"/>
            </w:tcMar>
            <w:vAlign w:val="center"/>
          </w:tcPr>
          <w:p w14:paraId="60061E4C" w14:textId="77777777" w:rsidR="00037711" w:rsidRDefault="00037711"/>
        </w:tc>
      </w:tr>
      <w:tr w:rsidR="00037711" w14:paraId="6D6E875E" w14:textId="77777777">
        <w:tc>
          <w:tcPr>
            <w:tcW w:w="4855" w:type="dxa"/>
            <w:shd w:val="clear" w:color="auto" w:fill="FFFFFF"/>
            <w:noWrap/>
            <w:tcMar>
              <w:top w:w="0" w:type="dxa"/>
              <w:left w:w="0" w:type="dxa"/>
              <w:bottom w:w="0" w:type="dxa"/>
              <w:right w:w="0" w:type="dxa"/>
            </w:tcMar>
            <w:vAlign w:val="center"/>
          </w:tcPr>
          <w:p w14:paraId="44EAFD9C" w14:textId="77777777" w:rsidR="00037711" w:rsidRDefault="00037711"/>
        </w:tc>
        <w:tc>
          <w:tcPr>
            <w:tcW w:w="4856" w:type="dxa"/>
            <w:shd w:val="clear" w:color="auto" w:fill="FFFFFF"/>
            <w:noWrap/>
            <w:tcMar>
              <w:top w:w="0" w:type="dxa"/>
              <w:left w:w="0" w:type="dxa"/>
              <w:bottom w:w="0" w:type="dxa"/>
              <w:right w:w="0" w:type="dxa"/>
            </w:tcMar>
            <w:vAlign w:val="center"/>
          </w:tcPr>
          <w:p w14:paraId="28CA92EF" w14:textId="77777777" w:rsidR="00037711" w:rsidRDefault="00EB5FE5">
            <w:pPr>
              <w:jc w:val="center"/>
            </w:pPr>
            <w:r>
              <w:t>(vārds, uzvārds, paraksts**)</w:t>
            </w:r>
          </w:p>
        </w:tc>
        <w:tc>
          <w:tcPr>
            <w:tcW w:w="4856" w:type="dxa"/>
            <w:shd w:val="clear" w:color="auto" w:fill="FFFFFF"/>
            <w:noWrap/>
            <w:tcMar>
              <w:top w:w="0" w:type="dxa"/>
              <w:left w:w="0" w:type="dxa"/>
              <w:bottom w:w="0" w:type="dxa"/>
              <w:right w:w="0" w:type="dxa"/>
            </w:tcMar>
            <w:vAlign w:val="center"/>
          </w:tcPr>
          <w:p w14:paraId="4B94D5A5" w14:textId="77777777" w:rsidR="00037711" w:rsidRDefault="00037711"/>
        </w:tc>
      </w:tr>
    </w:tbl>
    <w:p w14:paraId="3DEEC669" w14:textId="77777777" w:rsidR="00037711" w:rsidRDefault="00037711"/>
    <w:p w14:paraId="3D262E44" w14:textId="77777777" w:rsidR="00037711" w:rsidRDefault="00EB5FE5">
      <w:r>
        <w:t>Piezīmes.</w:t>
      </w:r>
    </w:p>
    <w:p w14:paraId="33E84DC0" w14:textId="77777777" w:rsidR="00037711" w:rsidRDefault="00EB5FE5">
      <w:r>
        <w:lastRenderedPageBreak/>
        <w:t>* Iesniedzējs (fiziskai personai – vārds, uzvārds, juridiskai personai – nosaukums) var tikt publiskots, ja viņš tam ir piekritis. Ja attiecināms, iesniedzējs norāda interešu pārstāvja reģistrācijas numuru.</w:t>
      </w:r>
    </w:p>
    <w:p w14:paraId="3C694BEC" w14:textId="77777777" w:rsidR="00037711" w:rsidRDefault="00EB5FE5">
      <w:r>
        <w:t>** Dokumenta rekvizītus "datums" un "paraksts" neaizpilda, ja elektroniskais dokuments ir sagatavots atbilstoši normatīvajiem aktiem par elektronisko dokumentu noformēšanu.</w:t>
      </w:r>
    </w:p>
    <w:sectPr w:rsidR="00037711">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C7FDE" w14:textId="77777777" w:rsidR="00042D3B" w:rsidRDefault="00042D3B">
      <w:r>
        <w:separator/>
      </w:r>
    </w:p>
  </w:endnote>
  <w:endnote w:type="continuationSeparator" w:id="0">
    <w:p w14:paraId="1F615FF1" w14:textId="77777777" w:rsidR="00042D3B" w:rsidRDefault="00042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EDD17" w14:textId="1ADAEB00" w:rsidR="00037711" w:rsidRDefault="00EB5FE5">
    <w:pPr>
      <w:jc w:val="right"/>
    </w:pPr>
    <w:r>
      <w:rPr>
        <w:sz w:val="24"/>
        <w:szCs w:val="24"/>
      </w:rPr>
      <w:fldChar w:fldCharType="begin"/>
    </w:r>
    <w:r>
      <w:rPr>
        <w:sz w:val="24"/>
        <w:szCs w:val="24"/>
      </w:rPr>
      <w:instrText>PAGE</w:instrText>
    </w:r>
    <w:r>
      <w:rPr>
        <w:sz w:val="24"/>
        <w:szCs w:val="24"/>
      </w:rPr>
      <w:fldChar w:fldCharType="separate"/>
    </w:r>
    <w:r w:rsidR="00050496">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71CD3" w14:textId="77777777" w:rsidR="00EB5FE5" w:rsidRDefault="00EB5FE5">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91EC4" w14:textId="77777777" w:rsidR="00042D3B" w:rsidRDefault="00042D3B">
      <w:r>
        <w:separator/>
      </w:r>
    </w:p>
  </w:footnote>
  <w:footnote w:type="continuationSeparator" w:id="0">
    <w:p w14:paraId="3E2E4597" w14:textId="77777777" w:rsidR="00042D3B" w:rsidRDefault="00042D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C7E79" w14:textId="77777777" w:rsidR="00037711" w:rsidRDefault="00EB5FE5">
    <w:pPr>
      <w:pStyle w:val="Header"/>
      <w:contextualSpacing w:val="0"/>
    </w:pPr>
    <w:r>
      <w:t>Viedokļu pārskats 26-TA-523</w:t>
    </w:r>
    <w:r>
      <w:br/>
      <w:t>Izdrukāts 02.04.2026. 08.44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7790A" w14:textId="77777777" w:rsidR="00037711" w:rsidRDefault="00EB5FE5">
    <w:pPr>
      <w:pStyle w:val="Header"/>
      <w:contextualSpacing w:val="0"/>
    </w:pPr>
    <w:r>
      <w:t>Viedokļu pārskats 26-TA-523</w:t>
    </w:r>
    <w:r>
      <w:br/>
      <w:t>Izdrukāts 02.04.2026. 08.44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711"/>
    <w:rsid w:val="00020F12"/>
    <w:rsid w:val="00037711"/>
    <w:rsid w:val="00042D3B"/>
    <w:rsid w:val="00050496"/>
    <w:rsid w:val="00082D43"/>
    <w:rsid w:val="000C137B"/>
    <w:rsid w:val="000C2BB9"/>
    <w:rsid w:val="000C68FE"/>
    <w:rsid w:val="000C72BE"/>
    <w:rsid w:val="0015661F"/>
    <w:rsid w:val="0015709C"/>
    <w:rsid w:val="001E4CA9"/>
    <w:rsid w:val="00214245"/>
    <w:rsid w:val="002514A9"/>
    <w:rsid w:val="00256265"/>
    <w:rsid w:val="002777BC"/>
    <w:rsid w:val="00295A5C"/>
    <w:rsid w:val="002A1AAB"/>
    <w:rsid w:val="002D416F"/>
    <w:rsid w:val="002D65E2"/>
    <w:rsid w:val="002E7217"/>
    <w:rsid w:val="00326B58"/>
    <w:rsid w:val="00336B89"/>
    <w:rsid w:val="0035D35F"/>
    <w:rsid w:val="0036373A"/>
    <w:rsid w:val="00364C37"/>
    <w:rsid w:val="003A4874"/>
    <w:rsid w:val="003C4EE4"/>
    <w:rsid w:val="004012FE"/>
    <w:rsid w:val="00406B12"/>
    <w:rsid w:val="00411FAC"/>
    <w:rsid w:val="004502DD"/>
    <w:rsid w:val="0048668C"/>
    <w:rsid w:val="004A1CCB"/>
    <w:rsid w:val="004B4AA7"/>
    <w:rsid w:val="004E0AFC"/>
    <w:rsid w:val="004E5F3B"/>
    <w:rsid w:val="00504C80"/>
    <w:rsid w:val="00574077"/>
    <w:rsid w:val="005746CE"/>
    <w:rsid w:val="00574E0E"/>
    <w:rsid w:val="00582B24"/>
    <w:rsid w:val="00605F3C"/>
    <w:rsid w:val="006253E2"/>
    <w:rsid w:val="00644DFB"/>
    <w:rsid w:val="00663868"/>
    <w:rsid w:val="00691655"/>
    <w:rsid w:val="006E7A90"/>
    <w:rsid w:val="006F20CD"/>
    <w:rsid w:val="00727F3A"/>
    <w:rsid w:val="0075488E"/>
    <w:rsid w:val="00780D71"/>
    <w:rsid w:val="007B0432"/>
    <w:rsid w:val="007C4A15"/>
    <w:rsid w:val="007F2F94"/>
    <w:rsid w:val="00832102"/>
    <w:rsid w:val="008336B3"/>
    <w:rsid w:val="008563A7"/>
    <w:rsid w:val="008576C5"/>
    <w:rsid w:val="0085E5C3"/>
    <w:rsid w:val="0089426A"/>
    <w:rsid w:val="008A5847"/>
    <w:rsid w:val="008D454F"/>
    <w:rsid w:val="008D60E9"/>
    <w:rsid w:val="008D78CD"/>
    <w:rsid w:val="00922C34"/>
    <w:rsid w:val="009273D9"/>
    <w:rsid w:val="00961BAF"/>
    <w:rsid w:val="009C70AC"/>
    <w:rsid w:val="009E3578"/>
    <w:rsid w:val="009F201B"/>
    <w:rsid w:val="009F4536"/>
    <w:rsid w:val="00A02D64"/>
    <w:rsid w:val="00A17D79"/>
    <w:rsid w:val="00AB060A"/>
    <w:rsid w:val="00AB2C2F"/>
    <w:rsid w:val="00AC3112"/>
    <w:rsid w:val="00AD1F51"/>
    <w:rsid w:val="00B56D69"/>
    <w:rsid w:val="00BA2393"/>
    <w:rsid w:val="00BC082D"/>
    <w:rsid w:val="00BD0746"/>
    <w:rsid w:val="00C27EC5"/>
    <w:rsid w:val="00CA7DC0"/>
    <w:rsid w:val="00CC52FD"/>
    <w:rsid w:val="00CE4669"/>
    <w:rsid w:val="00CE46F1"/>
    <w:rsid w:val="00D046B2"/>
    <w:rsid w:val="00D12189"/>
    <w:rsid w:val="00D4348A"/>
    <w:rsid w:val="00D70B26"/>
    <w:rsid w:val="00D717D0"/>
    <w:rsid w:val="00D76206"/>
    <w:rsid w:val="00DC3903"/>
    <w:rsid w:val="00DC3AE5"/>
    <w:rsid w:val="00DC7822"/>
    <w:rsid w:val="00DD17EF"/>
    <w:rsid w:val="00DD6116"/>
    <w:rsid w:val="00E3141F"/>
    <w:rsid w:val="00E351B9"/>
    <w:rsid w:val="00E86DF1"/>
    <w:rsid w:val="00E901CD"/>
    <w:rsid w:val="00EB46AE"/>
    <w:rsid w:val="00EB5FE5"/>
    <w:rsid w:val="00EC5925"/>
    <w:rsid w:val="00ED3896"/>
    <w:rsid w:val="00F62C58"/>
    <w:rsid w:val="00FA40EE"/>
    <w:rsid w:val="00FA70B7"/>
    <w:rsid w:val="00FB0A09"/>
    <w:rsid w:val="00FE1858"/>
    <w:rsid w:val="00FF64DF"/>
    <w:rsid w:val="023F445C"/>
    <w:rsid w:val="028545C6"/>
    <w:rsid w:val="02B3F282"/>
    <w:rsid w:val="037DAF8E"/>
    <w:rsid w:val="03E16751"/>
    <w:rsid w:val="0568FF8A"/>
    <w:rsid w:val="05DF0156"/>
    <w:rsid w:val="073846C0"/>
    <w:rsid w:val="07592928"/>
    <w:rsid w:val="0860EF03"/>
    <w:rsid w:val="08E07745"/>
    <w:rsid w:val="09441433"/>
    <w:rsid w:val="09FC5D93"/>
    <w:rsid w:val="09FD27CC"/>
    <w:rsid w:val="0A1C43AC"/>
    <w:rsid w:val="0A86AD45"/>
    <w:rsid w:val="0ADE0D14"/>
    <w:rsid w:val="0B76E41D"/>
    <w:rsid w:val="0BCF278C"/>
    <w:rsid w:val="0D4448A9"/>
    <w:rsid w:val="0EE5D662"/>
    <w:rsid w:val="0F95B1CD"/>
    <w:rsid w:val="0FA46688"/>
    <w:rsid w:val="0FABD2B3"/>
    <w:rsid w:val="0FF0C587"/>
    <w:rsid w:val="1132F01C"/>
    <w:rsid w:val="113E7D1E"/>
    <w:rsid w:val="11B2296D"/>
    <w:rsid w:val="11CC87E1"/>
    <w:rsid w:val="155A9581"/>
    <w:rsid w:val="15A6CB5C"/>
    <w:rsid w:val="174C9336"/>
    <w:rsid w:val="181130B5"/>
    <w:rsid w:val="19ED6BA9"/>
    <w:rsid w:val="1A5618A1"/>
    <w:rsid w:val="1A77D924"/>
    <w:rsid w:val="1AB05C3B"/>
    <w:rsid w:val="1D86B166"/>
    <w:rsid w:val="1E38B8AF"/>
    <w:rsid w:val="1E65399F"/>
    <w:rsid w:val="1ED51EA4"/>
    <w:rsid w:val="208CDD93"/>
    <w:rsid w:val="209EB1E3"/>
    <w:rsid w:val="20C7E873"/>
    <w:rsid w:val="2125B0C5"/>
    <w:rsid w:val="21EA905F"/>
    <w:rsid w:val="2211CFD3"/>
    <w:rsid w:val="22EE9758"/>
    <w:rsid w:val="23A9E0BE"/>
    <w:rsid w:val="23C8750A"/>
    <w:rsid w:val="23CA3442"/>
    <w:rsid w:val="246EBE44"/>
    <w:rsid w:val="25747252"/>
    <w:rsid w:val="2594979A"/>
    <w:rsid w:val="25CCB739"/>
    <w:rsid w:val="262592C0"/>
    <w:rsid w:val="26CF65C3"/>
    <w:rsid w:val="27027258"/>
    <w:rsid w:val="28228958"/>
    <w:rsid w:val="283D28E1"/>
    <w:rsid w:val="295D0756"/>
    <w:rsid w:val="2A215FE3"/>
    <w:rsid w:val="2B1DDD73"/>
    <w:rsid w:val="2C3B65BC"/>
    <w:rsid w:val="2C5D28C1"/>
    <w:rsid w:val="2D12A2DF"/>
    <w:rsid w:val="2E308CC2"/>
    <w:rsid w:val="2FDF2C68"/>
    <w:rsid w:val="30353B24"/>
    <w:rsid w:val="305BD158"/>
    <w:rsid w:val="330E06E9"/>
    <w:rsid w:val="342BEEF5"/>
    <w:rsid w:val="34AE49F2"/>
    <w:rsid w:val="36360D0E"/>
    <w:rsid w:val="36918CB5"/>
    <w:rsid w:val="379987E3"/>
    <w:rsid w:val="38D3FCA7"/>
    <w:rsid w:val="3AA347BD"/>
    <w:rsid w:val="3B8DDA7C"/>
    <w:rsid w:val="3BBFD480"/>
    <w:rsid w:val="3C00CFD3"/>
    <w:rsid w:val="3C7D470A"/>
    <w:rsid w:val="3C951F8C"/>
    <w:rsid w:val="3D5E943B"/>
    <w:rsid w:val="3D630F98"/>
    <w:rsid w:val="3E42C21B"/>
    <w:rsid w:val="3E9C944D"/>
    <w:rsid w:val="402DE6E2"/>
    <w:rsid w:val="4033B827"/>
    <w:rsid w:val="409897A8"/>
    <w:rsid w:val="40D0B7CD"/>
    <w:rsid w:val="412F0C63"/>
    <w:rsid w:val="44274D49"/>
    <w:rsid w:val="44EA619D"/>
    <w:rsid w:val="457596AD"/>
    <w:rsid w:val="45B8F9C7"/>
    <w:rsid w:val="46C90811"/>
    <w:rsid w:val="47C3EA00"/>
    <w:rsid w:val="49D6090E"/>
    <w:rsid w:val="4C85CFAB"/>
    <w:rsid w:val="4D188E0C"/>
    <w:rsid w:val="4D1BCA2C"/>
    <w:rsid w:val="4D4AAC0D"/>
    <w:rsid w:val="4D593A3D"/>
    <w:rsid w:val="4EB6880C"/>
    <w:rsid w:val="4FE8E173"/>
    <w:rsid w:val="5118E1E1"/>
    <w:rsid w:val="536B7773"/>
    <w:rsid w:val="567FC71F"/>
    <w:rsid w:val="570E21E7"/>
    <w:rsid w:val="59E3D795"/>
    <w:rsid w:val="5B55E788"/>
    <w:rsid w:val="5CC9B297"/>
    <w:rsid w:val="5D1B41D6"/>
    <w:rsid w:val="5D332639"/>
    <w:rsid w:val="5D3A9030"/>
    <w:rsid w:val="5ED6236C"/>
    <w:rsid w:val="61048CB7"/>
    <w:rsid w:val="619AB08D"/>
    <w:rsid w:val="61E36636"/>
    <w:rsid w:val="63B635E5"/>
    <w:rsid w:val="642945B2"/>
    <w:rsid w:val="65D6459B"/>
    <w:rsid w:val="663CA43C"/>
    <w:rsid w:val="66EFE5EC"/>
    <w:rsid w:val="677D12A9"/>
    <w:rsid w:val="68D31779"/>
    <w:rsid w:val="6A2E6568"/>
    <w:rsid w:val="6BC49DC2"/>
    <w:rsid w:val="6C640A49"/>
    <w:rsid w:val="6D144EB2"/>
    <w:rsid w:val="6EF2681A"/>
    <w:rsid w:val="6F668727"/>
    <w:rsid w:val="70610941"/>
    <w:rsid w:val="712DDD7B"/>
    <w:rsid w:val="7133DF7D"/>
    <w:rsid w:val="71F48434"/>
    <w:rsid w:val="7215CFEB"/>
    <w:rsid w:val="7259799D"/>
    <w:rsid w:val="74CE3D88"/>
    <w:rsid w:val="74F46C95"/>
    <w:rsid w:val="76973EF4"/>
    <w:rsid w:val="76A23D92"/>
    <w:rsid w:val="79367EF8"/>
    <w:rsid w:val="79586537"/>
    <w:rsid w:val="7A5A6A39"/>
    <w:rsid w:val="7AC526F5"/>
    <w:rsid w:val="7B13AA4E"/>
    <w:rsid w:val="7B92ABE7"/>
    <w:rsid w:val="7C1E705C"/>
    <w:rsid w:val="7C2512CF"/>
    <w:rsid w:val="7D5298B8"/>
    <w:rsid w:val="7EF3325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D9AE5"/>
  <w15:docId w15:val="{8BF7DC32-E293-4BB5-AD2C-AC7DD2623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Footer">
    <w:name w:val="footer"/>
    <w:basedOn w:val="Normal"/>
    <w:link w:val="FooterChar"/>
    <w:uiPriority w:val="99"/>
    <w:semiHidden/>
    <w:unhideWhenUsed/>
    <w:rsid w:val="00574E0E"/>
    <w:pPr>
      <w:tabs>
        <w:tab w:val="center" w:pos="4680"/>
        <w:tab w:val="right" w:pos="9360"/>
      </w:tabs>
    </w:pPr>
  </w:style>
  <w:style w:type="character" w:customStyle="1" w:styleId="FooterChar">
    <w:name w:val="Footer Char"/>
    <w:basedOn w:val="DefaultParagraphFont"/>
    <w:link w:val="Footer"/>
    <w:uiPriority w:val="99"/>
    <w:semiHidden/>
    <w:rsid w:val="005740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9</Pages>
  <Words>6672</Words>
  <Characters>3804</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viedoklu_parskats_26-TA-523.docx</vt:lpstr>
    </vt:vector>
  </TitlesOfParts>
  <Company/>
  <LinksUpToDate>false</LinksUpToDate>
  <CharactersWithSpaces>10456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viedoklu_parskats_26-TA-523.docx</dc:title>
  <dc:subject/>
  <dc:creator>Kaspars Špūle</dc:creator>
  <cp:keywords/>
  <cp:lastModifiedBy>Ivars Zemļanskis</cp:lastModifiedBy>
  <cp:revision>55</cp:revision>
  <dcterms:created xsi:type="dcterms:W3CDTF">2026-04-07T16:00:00Z</dcterms:created>
  <dcterms:modified xsi:type="dcterms:W3CDTF">2026-04-08T08:30:00Z</dcterms:modified>
</cp:coreProperties>
</file>