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6342A6" w14:textId="77777777" w:rsidR="00D80EA2" w:rsidRDefault="00000000">
      <w:pPr>
        <w:spacing w:after="240"/>
        <w:jc w:val="center"/>
        <w:rPr>
          <w:b/>
        </w:rPr>
      </w:pPr>
      <w:r>
        <w:rPr>
          <w:b/>
        </w:rPr>
        <w:t>“Publiskās apspriešanas laikā 05.08.2025. - 19.08.2025. saņemto viedokļu, priekšlikumu un iebildumu apkopojums par Grozījumi Augstskolu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80EA2" w14:paraId="1C709D7E" w14:textId="77777777">
        <w:tc>
          <w:tcPr>
            <w:tcW w:w="750" w:type="dxa"/>
            <w:shd w:val="clear" w:color="auto" w:fill="FFFFFF"/>
            <w:noWrap/>
            <w:tcMar>
              <w:top w:w="75" w:type="dxa"/>
              <w:left w:w="75" w:type="dxa"/>
              <w:bottom w:w="75" w:type="dxa"/>
              <w:right w:w="75" w:type="dxa"/>
            </w:tcMar>
            <w:vAlign w:val="center"/>
          </w:tcPr>
          <w:p w14:paraId="5B00D197" w14:textId="77777777" w:rsidR="00D80EA2"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49756E4A" w14:textId="77777777" w:rsidR="00D80EA2"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914DDF5" w14:textId="77777777" w:rsidR="00D80EA2"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093C802" w14:textId="77777777" w:rsidR="00D80EA2"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06CE3EB" w14:textId="77777777" w:rsidR="00D80EA2" w:rsidRDefault="00000000">
            <w:pPr>
              <w:jc w:val="center"/>
            </w:pPr>
            <w:r>
              <w:rPr>
                <w:b/>
              </w:rPr>
              <w:t>Skaidrojums, kādā veidā viedoklis / priekšlikums / iebildums ir ņemts vērā vai ņemts vērā daļēji, vai pamatojums, ja viedoklis / priekšlikums / iebildums nav ņemts vērā</w:t>
            </w:r>
          </w:p>
        </w:tc>
      </w:tr>
      <w:tr w:rsidR="00D80EA2" w14:paraId="00F5A44C" w14:textId="77777777">
        <w:tc>
          <w:tcPr>
            <w:tcW w:w="750" w:type="dxa"/>
            <w:shd w:val="clear" w:color="auto" w:fill="FFFFFF"/>
            <w:noWrap/>
            <w:tcMar>
              <w:top w:w="75" w:type="dxa"/>
              <w:left w:w="75" w:type="dxa"/>
              <w:bottom w:w="75" w:type="dxa"/>
              <w:right w:w="75" w:type="dxa"/>
            </w:tcMar>
            <w:vAlign w:val="center"/>
          </w:tcPr>
          <w:p w14:paraId="2756ACA3" w14:textId="77777777" w:rsidR="00D80EA2" w:rsidRDefault="00000000">
            <w:pPr>
              <w:jc w:val="center"/>
            </w:pPr>
            <w:r>
              <w:t>1.</w:t>
            </w:r>
          </w:p>
        </w:tc>
        <w:tc>
          <w:tcPr>
            <w:tcW w:w="4055" w:type="dxa"/>
            <w:shd w:val="clear" w:color="auto" w:fill="FFFFFF"/>
            <w:noWrap/>
            <w:tcMar>
              <w:top w:w="75" w:type="dxa"/>
              <w:left w:w="75" w:type="dxa"/>
              <w:bottom w:w="75" w:type="dxa"/>
              <w:right w:w="75" w:type="dxa"/>
            </w:tcMar>
            <w:vAlign w:val="center"/>
          </w:tcPr>
          <w:p w14:paraId="4329B617" w14:textId="77777777" w:rsidR="00D80EA2"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323B7822" w14:textId="77777777" w:rsidR="00D80EA2" w:rsidRDefault="00000000">
            <w:pPr>
              <w:jc w:val="left"/>
            </w:pPr>
            <w:r>
              <w:t>Par 52. panta jauno redakciju. Aicinām izvērtēt iespēju precizēt - vai (1) daļā ar “studiju vietu skaitu” domāts vispār kopējais studiju vietu skaits augstskolā vai vietu skaits par valsts finansējumu (nākotnē likuma izpratnē – no augstskolai pieejamajiem finanšu līdzekļiem finansētajā studiju vietā).</w:t>
            </w:r>
            <w:r>
              <w:br/>
            </w:r>
            <w:r>
              <w:br/>
              <w:t xml:space="preserve">Anotācijā ir teikts – likumprojekts paredz atteikties no tā, ka IZM un AIP nosaka valsts budžeta finansēto vietu skaitu augstskolās un studiju programmās, tai vietā deleģējot tiesības pašai </w:t>
            </w:r>
            <w:r>
              <w:lastRenderedPageBreak/>
              <w:t>augstskolai noteikt studiju vietu skaitu.</w:t>
            </w:r>
            <w:r>
              <w:br/>
            </w:r>
            <w:r>
              <w:br/>
              <w:t>52. panta (1) daļā, iespējams, nepieciešams precizēt, ka valsts augstskolas senāts nosaka un padome apstiprina no augstskolai pieejamajiem finanšu līdzekļiem finansēto studiju vietu skaitu, studiju vietas finansēšanas principus no valsts budžeta, augstskolas budžeta un privātpersonu līdzekļiem, kā arī studiju maksas nosacījumus.</w:t>
            </w:r>
          </w:p>
        </w:tc>
        <w:tc>
          <w:tcPr>
            <w:tcW w:w="1650" w:type="dxa"/>
            <w:shd w:val="clear" w:color="auto" w:fill="FFFFFF"/>
            <w:noWrap/>
            <w:tcMar>
              <w:top w:w="75" w:type="dxa"/>
              <w:left w:w="75" w:type="dxa"/>
              <w:bottom w:w="75" w:type="dxa"/>
              <w:right w:w="75" w:type="dxa"/>
            </w:tcMar>
            <w:vAlign w:val="center"/>
          </w:tcPr>
          <w:p w14:paraId="2E7C79C8" w14:textId="5E17C84C" w:rsidR="00D80EA2" w:rsidRDefault="00163C36">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7858C7CB" w14:textId="5454F39B" w:rsidR="00D80EA2" w:rsidRDefault="00163C36">
            <w:pPr>
              <w:jc w:val="left"/>
            </w:pPr>
            <w:r>
              <w:t xml:space="preserve">Skaidrojam, ka ar studiju vietu skaitu šī panta izpratnē domāts kopējais studiju vietu skaits augstskolā, ņemot vērā, ka pants ietver arī augstskolas tiesības noteikt studiju vietu finansēšanas principus (noteikt, cik studiju vietas finansē no valsts budžeta, augstskolas budžeta un privātpersonu līdzekļiem, cik studiju vietās noteikt pilnu studiju maksu, cik studiju vietās noteikt pilnu studiju maksu). </w:t>
            </w:r>
          </w:p>
        </w:tc>
      </w:tr>
      <w:tr w:rsidR="00D80EA2" w14:paraId="477CB849" w14:textId="77777777">
        <w:tc>
          <w:tcPr>
            <w:tcW w:w="750" w:type="dxa"/>
            <w:shd w:val="clear" w:color="auto" w:fill="FFFFFF"/>
            <w:noWrap/>
            <w:tcMar>
              <w:top w:w="75" w:type="dxa"/>
              <w:left w:w="75" w:type="dxa"/>
              <w:bottom w:w="75" w:type="dxa"/>
              <w:right w:w="75" w:type="dxa"/>
            </w:tcMar>
            <w:vAlign w:val="center"/>
          </w:tcPr>
          <w:p w14:paraId="6AAC9A4D" w14:textId="77777777" w:rsidR="00D80EA2" w:rsidRDefault="00000000">
            <w:pPr>
              <w:jc w:val="center"/>
            </w:pPr>
            <w:r>
              <w:t>2.</w:t>
            </w:r>
          </w:p>
        </w:tc>
        <w:tc>
          <w:tcPr>
            <w:tcW w:w="4055" w:type="dxa"/>
            <w:shd w:val="clear" w:color="auto" w:fill="FFFFFF"/>
            <w:noWrap/>
            <w:tcMar>
              <w:top w:w="75" w:type="dxa"/>
              <w:left w:w="75" w:type="dxa"/>
              <w:bottom w:w="75" w:type="dxa"/>
              <w:right w:w="75" w:type="dxa"/>
            </w:tcMar>
            <w:vAlign w:val="center"/>
          </w:tcPr>
          <w:p w14:paraId="7AA859A2" w14:textId="77777777" w:rsidR="00D80EA2" w:rsidRDefault="00000000">
            <w:pPr>
              <w:jc w:val="left"/>
            </w:pPr>
            <w:r>
              <w:t>Rektoru padome</w:t>
            </w:r>
          </w:p>
        </w:tc>
        <w:tc>
          <w:tcPr>
            <w:tcW w:w="4056" w:type="dxa"/>
            <w:shd w:val="clear" w:color="auto" w:fill="FFFFFF"/>
            <w:noWrap/>
            <w:tcMar>
              <w:top w:w="75" w:type="dxa"/>
              <w:left w:w="75" w:type="dxa"/>
              <w:bottom w:w="75" w:type="dxa"/>
              <w:right w:w="75" w:type="dxa"/>
            </w:tcMar>
            <w:vAlign w:val="center"/>
          </w:tcPr>
          <w:p w14:paraId="2783831B" w14:textId="77777777" w:rsidR="00D80EA2" w:rsidRDefault="00000000">
            <w:pPr>
              <w:jc w:val="left"/>
            </w:pPr>
            <w:r>
              <w:t>78. panta (7) daļā plānots noteikt, ka IZM var slēgt līgumus ar valsts akreditētām privātpersonu dibinātajām augstskolām par noteiktu speciālistu sagatavošanu vai pētījumu veikšanu, piešķirot attiecīgu valsts finansējumu – ja “attiecīgajā augstskolā īsteno augstākas kvalitātes studiju programmas”.</w:t>
            </w:r>
            <w:r>
              <w:br/>
            </w:r>
            <w:r>
              <w:br/>
              <w:t xml:space="preserve">Aicinām precizēt, kas domāts ar vārdiem “augstas kvalitātes </w:t>
            </w:r>
            <w:r>
              <w:lastRenderedPageBreak/>
              <w:t>studiju programmas”. Šobrīd pie esošās studiju virzienu novērtēšanas / akreditācijas procedūras katrai studiju programmai tiek dots vērtējums – viduvēji, labi vai izcili. Vai, pārejot uz institucionālo akreditāciju, katrai studiju programmai turpmāk tiks arī dots vērtējums, nosakot, ka tā vai cita programma ir “augstas kvalitātes” studiju programma?</w:t>
            </w:r>
            <w:r>
              <w:br/>
            </w:r>
          </w:p>
        </w:tc>
        <w:tc>
          <w:tcPr>
            <w:tcW w:w="1650" w:type="dxa"/>
            <w:shd w:val="clear" w:color="auto" w:fill="FFFFFF"/>
            <w:noWrap/>
            <w:tcMar>
              <w:top w:w="75" w:type="dxa"/>
              <w:left w:w="75" w:type="dxa"/>
              <w:bottom w:w="75" w:type="dxa"/>
              <w:right w:w="75" w:type="dxa"/>
            </w:tcMar>
            <w:vAlign w:val="center"/>
          </w:tcPr>
          <w:p w14:paraId="7B4961F8" w14:textId="35B5325F" w:rsidR="00D80EA2" w:rsidRDefault="00163C36">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9406C04" w14:textId="32767949" w:rsidR="00D80EA2" w:rsidRDefault="00983459">
            <w:pPr>
              <w:jc w:val="left"/>
            </w:pPr>
            <w:r>
              <w:t xml:space="preserve">Precizēta redakcija, nosakot, ka var finansēt, ja īsteno “augstākas kvalitātes studiju un zinātnisko procesu kā valsts dibinātajās augstskolās”.  </w:t>
            </w:r>
          </w:p>
        </w:tc>
      </w:tr>
      <w:tr w:rsidR="00D80EA2" w14:paraId="7D1E291A" w14:textId="77777777">
        <w:tc>
          <w:tcPr>
            <w:tcW w:w="750" w:type="dxa"/>
            <w:shd w:val="clear" w:color="auto" w:fill="FFFFFF"/>
            <w:noWrap/>
            <w:tcMar>
              <w:top w:w="75" w:type="dxa"/>
              <w:left w:w="75" w:type="dxa"/>
              <w:bottom w:w="75" w:type="dxa"/>
              <w:right w:w="75" w:type="dxa"/>
            </w:tcMar>
            <w:vAlign w:val="center"/>
          </w:tcPr>
          <w:p w14:paraId="16B69267" w14:textId="77777777" w:rsidR="00D80EA2" w:rsidRDefault="00000000">
            <w:pPr>
              <w:jc w:val="center"/>
            </w:pPr>
            <w:r>
              <w:t>3.</w:t>
            </w:r>
          </w:p>
        </w:tc>
        <w:tc>
          <w:tcPr>
            <w:tcW w:w="4055" w:type="dxa"/>
            <w:shd w:val="clear" w:color="auto" w:fill="FFFFFF"/>
            <w:noWrap/>
            <w:tcMar>
              <w:top w:w="75" w:type="dxa"/>
              <w:left w:w="75" w:type="dxa"/>
              <w:bottom w:w="75" w:type="dxa"/>
              <w:right w:w="75" w:type="dxa"/>
            </w:tcMar>
            <w:vAlign w:val="center"/>
          </w:tcPr>
          <w:p w14:paraId="751B30A3" w14:textId="77777777" w:rsidR="00D80EA2" w:rsidRDefault="00000000">
            <w:pPr>
              <w:jc w:val="left"/>
            </w:pPr>
            <w:r>
              <w:t>Rektoru padome</w:t>
            </w:r>
          </w:p>
        </w:tc>
        <w:tc>
          <w:tcPr>
            <w:tcW w:w="4056" w:type="dxa"/>
            <w:shd w:val="clear" w:color="auto" w:fill="FFFFFF"/>
            <w:noWrap/>
            <w:tcMar>
              <w:top w:w="75" w:type="dxa"/>
              <w:left w:w="75" w:type="dxa"/>
              <w:bottom w:w="75" w:type="dxa"/>
              <w:right w:w="75" w:type="dxa"/>
            </w:tcMar>
            <w:vAlign w:val="center"/>
          </w:tcPr>
          <w:p w14:paraId="2F25D866" w14:textId="77777777" w:rsidR="00D80EA2" w:rsidRDefault="00000000">
            <w:pPr>
              <w:jc w:val="left"/>
            </w:pPr>
            <w:r>
              <w:t xml:space="preserve">Augstskolu likuma 78. panta (1) daļā pie uzskaitītā augstskolai saņemamā valsts finansējuma ir uzskaitīts arī finansējums doktorantūrai un stipendijām. Piedāvātajā redakcijā vairs nav šādu mērķu, lai gan ir viena ļoti vispārīga pozīcija "finansējums studiju nodrošināšanai". Tāpat, interpretējams jautājums - vai kādā no pozīcijām slēpjas finansējums tenūrprofesūras īstenošanai. Aicinām izvērtēt – vai piedāvātā redakcija nesatur </w:t>
            </w:r>
            <w:r>
              <w:lastRenderedPageBreak/>
              <w:t>nekosekvenci detalizācijā – sākot ar ļoti vispārīgiem nosaukumiem līdz nevajadzīgām detaļām.</w:t>
            </w:r>
          </w:p>
        </w:tc>
        <w:tc>
          <w:tcPr>
            <w:tcW w:w="1650" w:type="dxa"/>
            <w:shd w:val="clear" w:color="auto" w:fill="FFFFFF"/>
            <w:noWrap/>
            <w:tcMar>
              <w:top w:w="75" w:type="dxa"/>
              <w:left w:w="75" w:type="dxa"/>
              <w:bottom w:w="75" w:type="dxa"/>
              <w:right w:w="75" w:type="dxa"/>
            </w:tcMar>
            <w:vAlign w:val="center"/>
          </w:tcPr>
          <w:p w14:paraId="59EB8C35" w14:textId="1A7C59F4" w:rsidR="00D80EA2" w:rsidRDefault="00607E47">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C6EAE36" w14:textId="31DC45D1" w:rsidR="00D80EA2" w:rsidRDefault="00607E47">
            <w:pPr>
              <w:jc w:val="left"/>
            </w:pPr>
            <w:r>
              <w:t xml:space="preserve">Skaidrojam, ka </w:t>
            </w:r>
            <w:r w:rsidR="00A46C2A">
              <w:t xml:space="preserve">finansējums doktorantūrai un stipendijām iekļaujas zem pozīcijas “finansējums studiju nodrošināšanai”. </w:t>
            </w:r>
            <w:r w:rsidR="00AA064D">
              <w:t xml:space="preserve">Precizēta redakcija, norādot, ka līdzekļi doktorantūras nodrošināšanai ir daļa no finansējuma studiju nodrošināšanai. </w:t>
            </w:r>
            <w:r w:rsidR="00A46C2A">
              <w:t>Finansējums tenūrprofesūras īstenošanai šobrīd iekļaujams zem finansējuma studiju nodrošināšanai apakšpozīcijas “līdzekļi noteiktu mērķu īstenošanai”.</w:t>
            </w:r>
          </w:p>
        </w:tc>
      </w:tr>
      <w:tr w:rsidR="00D80EA2" w14:paraId="33657612" w14:textId="77777777">
        <w:tc>
          <w:tcPr>
            <w:tcW w:w="750" w:type="dxa"/>
            <w:shd w:val="clear" w:color="auto" w:fill="FFFFFF"/>
            <w:noWrap/>
            <w:tcMar>
              <w:top w:w="75" w:type="dxa"/>
              <w:left w:w="75" w:type="dxa"/>
              <w:bottom w:w="75" w:type="dxa"/>
              <w:right w:w="75" w:type="dxa"/>
            </w:tcMar>
            <w:vAlign w:val="center"/>
          </w:tcPr>
          <w:p w14:paraId="091BC256" w14:textId="77777777" w:rsidR="00D80EA2" w:rsidRDefault="00000000">
            <w:pPr>
              <w:jc w:val="center"/>
            </w:pPr>
            <w:r>
              <w:t>4.</w:t>
            </w:r>
          </w:p>
        </w:tc>
        <w:tc>
          <w:tcPr>
            <w:tcW w:w="4055" w:type="dxa"/>
            <w:shd w:val="clear" w:color="auto" w:fill="FFFFFF"/>
            <w:noWrap/>
            <w:tcMar>
              <w:top w:w="75" w:type="dxa"/>
              <w:left w:w="75" w:type="dxa"/>
              <w:bottom w:w="75" w:type="dxa"/>
              <w:right w:w="75" w:type="dxa"/>
            </w:tcMar>
            <w:vAlign w:val="center"/>
          </w:tcPr>
          <w:p w14:paraId="08FB0256" w14:textId="77777777" w:rsidR="00D80EA2" w:rsidRDefault="00000000">
            <w:pPr>
              <w:jc w:val="left"/>
            </w:pPr>
            <w:r>
              <w:t>Rektoru padome</w:t>
            </w:r>
          </w:p>
        </w:tc>
        <w:tc>
          <w:tcPr>
            <w:tcW w:w="4056" w:type="dxa"/>
            <w:shd w:val="clear" w:color="auto" w:fill="FFFFFF"/>
            <w:noWrap/>
            <w:tcMar>
              <w:top w:w="75" w:type="dxa"/>
              <w:left w:w="75" w:type="dxa"/>
              <w:bottom w:w="75" w:type="dxa"/>
              <w:right w:w="75" w:type="dxa"/>
            </w:tcMar>
            <w:vAlign w:val="center"/>
          </w:tcPr>
          <w:p w14:paraId="20954D59" w14:textId="77777777" w:rsidR="00D80EA2" w:rsidRDefault="00000000">
            <w:pPr>
              <w:jc w:val="left"/>
            </w:pPr>
            <w:r>
              <w:t>Par 52. panta jauno redakciju. Aicinām izvērtēt iespēju precizēt - vai (1) daļā ar “studiju vietu skaitu” domāts vispār kopējais studiju vietu skaits augstskolā vai vietu skaits par valsts finansējumu (nākotnē likuma izpratnē – no augstskolai pieejamajiem finanšu līdzekļiem finansētajā studiju vietā).</w:t>
            </w:r>
            <w:r>
              <w:br/>
            </w:r>
            <w:r>
              <w:br/>
              <w:t>Anotācijā ir teikts – likumprojekts paredz atteikties no tā, ka IZM un AIP nosaka valsts budžeta finansēto vietu skaitu augstskolās un studiju programmās, tai vietā deleģējot tiesības pašai augstskolai noteikt studiju vietu skaitu.</w:t>
            </w:r>
            <w:r>
              <w:br/>
            </w:r>
            <w:r>
              <w:br/>
              <w:t xml:space="preserve">52. panta (1) daļā, iespējams, nepieciešams precizēt, ka valsts augstskolas senāts nosaka un padome apstiprina no augstskolai </w:t>
            </w:r>
            <w:r>
              <w:lastRenderedPageBreak/>
              <w:t>pieejamajiem finanšu līdzekļiem finansēto studiju vietu skaitu, studiju vietas finansēšanas principus no valsts budžeta, augstskolas budžeta un privātpersonu līdzekļiem, kā arī studiju maksas nosacījumus.</w:t>
            </w:r>
            <w:r>
              <w:br/>
            </w:r>
          </w:p>
        </w:tc>
        <w:tc>
          <w:tcPr>
            <w:tcW w:w="1650" w:type="dxa"/>
            <w:shd w:val="clear" w:color="auto" w:fill="FFFFFF"/>
            <w:noWrap/>
            <w:tcMar>
              <w:top w:w="75" w:type="dxa"/>
              <w:left w:w="75" w:type="dxa"/>
              <w:bottom w:w="75" w:type="dxa"/>
              <w:right w:w="75" w:type="dxa"/>
            </w:tcMar>
            <w:vAlign w:val="center"/>
          </w:tcPr>
          <w:p w14:paraId="1AC51A56" w14:textId="19BE0E76" w:rsidR="00D80EA2" w:rsidRDefault="00607E47">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16902844" w14:textId="6FE3045C" w:rsidR="00D80EA2" w:rsidRDefault="00607E47">
            <w:pPr>
              <w:jc w:val="left"/>
            </w:pPr>
            <w:r>
              <w:t>Skaidrojam, ka ar studiju vietu skaitu šī panta izpratnē domāts kopējais studiju vietu skaits augstskolā, ņemot vērā, ka pants ietver arī augstskolas tiesības noteikt studiju vietu finansēšanas principus (noteikt, cik studiju vietas finansē no valsts budžeta, augstskolas budžeta un privātpersonu līdzekļiem, cik studiju vietās noteikt pilnu studiju maksu, cik studiju vietās noteikt pilnu studiju maksu).</w:t>
            </w:r>
          </w:p>
        </w:tc>
      </w:tr>
      <w:tr w:rsidR="00D80EA2" w14:paraId="6B390D20" w14:textId="77777777">
        <w:tc>
          <w:tcPr>
            <w:tcW w:w="750" w:type="dxa"/>
            <w:shd w:val="clear" w:color="auto" w:fill="FFFFFF"/>
            <w:noWrap/>
            <w:tcMar>
              <w:top w:w="75" w:type="dxa"/>
              <w:left w:w="75" w:type="dxa"/>
              <w:bottom w:w="75" w:type="dxa"/>
              <w:right w:w="75" w:type="dxa"/>
            </w:tcMar>
            <w:vAlign w:val="center"/>
          </w:tcPr>
          <w:p w14:paraId="566F6150" w14:textId="77777777" w:rsidR="00D80EA2" w:rsidRDefault="00000000">
            <w:pPr>
              <w:jc w:val="center"/>
            </w:pPr>
            <w:r>
              <w:t>5.</w:t>
            </w:r>
          </w:p>
        </w:tc>
        <w:tc>
          <w:tcPr>
            <w:tcW w:w="4055" w:type="dxa"/>
            <w:shd w:val="clear" w:color="auto" w:fill="FFFFFF"/>
            <w:noWrap/>
            <w:tcMar>
              <w:top w:w="75" w:type="dxa"/>
              <w:left w:w="75" w:type="dxa"/>
              <w:bottom w:w="75" w:type="dxa"/>
              <w:right w:w="75" w:type="dxa"/>
            </w:tcMar>
            <w:vAlign w:val="center"/>
          </w:tcPr>
          <w:p w14:paraId="09F50C90" w14:textId="77777777" w:rsidR="00D80EA2" w:rsidRDefault="00000000">
            <w:pPr>
              <w:jc w:val="left"/>
            </w:pPr>
            <w:r>
              <w:t>Rektoru padome</w:t>
            </w:r>
          </w:p>
        </w:tc>
        <w:tc>
          <w:tcPr>
            <w:tcW w:w="4056" w:type="dxa"/>
            <w:shd w:val="clear" w:color="auto" w:fill="FFFFFF"/>
            <w:noWrap/>
            <w:tcMar>
              <w:top w:w="75" w:type="dxa"/>
              <w:left w:w="75" w:type="dxa"/>
              <w:bottom w:w="75" w:type="dxa"/>
              <w:right w:w="75" w:type="dxa"/>
            </w:tcMar>
            <w:vAlign w:val="center"/>
          </w:tcPr>
          <w:p w14:paraId="18EFA344" w14:textId="77777777" w:rsidR="00D80EA2" w:rsidRDefault="00000000">
            <w:pPr>
              <w:jc w:val="left"/>
            </w:pPr>
            <w:r>
              <w:t>52. panta (1) daļā paredzēts noteikt, ka studiju vietu skaitu un to finansēšanas principus nosaka senāts un apstiprina padome. Pirmkārt, aicinām skaidrot - kā IZM ieskatā abu orgānu (senāta un padomes) (sa)darbība tiks īstenota praksē. Vārdi "nosaka senāts" liecina par pabeigtu darbību. Bez tam, vai padome, izskatot tai apstiprināšanai piedāvāto senāta noteikto skaitu, var to pēc savas iniciatīvas mainīt, vai mainītais vietu skaits atkārtoti virzāms noteikšanai senātā. </w:t>
            </w:r>
            <w:r>
              <w:br/>
            </w:r>
            <w:r>
              <w:br/>
              <w:t xml:space="preserve">Otrkārt, ņemot vērā arī iepriekš minēto, aicinām vērtēt, vai prasība studiju vietu skaitu, tātad - arī </w:t>
            </w:r>
            <w:r>
              <w:lastRenderedPageBreak/>
              <w:t>visas izmaiņas studiju vietu skaitā - izskatīt 2 institūcijās (senātā un padomē), nav pārmērīga un neliecina par nevajadzīgu birokrātisko slogu. </w:t>
            </w:r>
          </w:p>
        </w:tc>
        <w:tc>
          <w:tcPr>
            <w:tcW w:w="1650" w:type="dxa"/>
            <w:shd w:val="clear" w:color="auto" w:fill="FFFFFF"/>
            <w:noWrap/>
            <w:tcMar>
              <w:top w:w="75" w:type="dxa"/>
              <w:left w:w="75" w:type="dxa"/>
              <w:bottom w:w="75" w:type="dxa"/>
              <w:right w:w="75" w:type="dxa"/>
            </w:tcMar>
            <w:vAlign w:val="center"/>
          </w:tcPr>
          <w:p w14:paraId="3C572EF6" w14:textId="3C642255" w:rsidR="00D80EA2" w:rsidRDefault="00607E47">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77B1633D" w14:textId="402C0A9B" w:rsidR="00D80EA2" w:rsidRDefault="00607E47">
            <w:pPr>
              <w:jc w:val="left"/>
            </w:pPr>
            <w:r>
              <w:t>Precizēta redakcija – pēc senāta priekšlikuma apstiprina padome</w:t>
            </w:r>
            <w:r w:rsidR="00A46C2A">
              <w:t xml:space="preserve">. </w:t>
            </w:r>
            <w:r w:rsidR="00A1773E">
              <w:t xml:space="preserve">Ņemot vērā, ka likumprojekts paredz, ka padome pēc senāta priekšlikuma apstiprina ne tikai studiju vietu skaitu, bet arī šo studiju vietu finansēšanas principus no valsts budžeta, augstskolas budžeta un privātpersonu līdzekļiem, kā arī studiju maksas nosacījumus, lai nodrošinātu kvalitatīvu šo lēmumu pieņemšanas procesu, ministrijas ieskatā, nepieciešama arī augstskolas senāta iesaiste. </w:t>
            </w:r>
          </w:p>
        </w:tc>
      </w:tr>
      <w:tr w:rsidR="002B6434" w14:paraId="47C28CFF" w14:textId="77777777">
        <w:tc>
          <w:tcPr>
            <w:tcW w:w="750" w:type="dxa"/>
            <w:shd w:val="clear" w:color="auto" w:fill="FFFFFF"/>
            <w:noWrap/>
            <w:tcMar>
              <w:top w:w="75" w:type="dxa"/>
              <w:left w:w="75" w:type="dxa"/>
              <w:bottom w:w="75" w:type="dxa"/>
              <w:right w:w="75" w:type="dxa"/>
            </w:tcMar>
            <w:vAlign w:val="center"/>
          </w:tcPr>
          <w:p w14:paraId="5677ED5A" w14:textId="08C160CE" w:rsidR="002B6434" w:rsidRDefault="002B6434">
            <w:pPr>
              <w:jc w:val="center"/>
            </w:pPr>
            <w:r>
              <w:t xml:space="preserve">6. </w:t>
            </w:r>
          </w:p>
        </w:tc>
        <w:tc>
          <w:tcPr>
            <w:tcW w:w="4055" w:type="dxa"/>
            <w:shd w:val="clear" w:color="auto" w:fill="FFFFFF"/>
            <w:noWrap/>
            <w:tcMar>
              <w:top w:w="75" w:type="dxa"/>
              <w:left w:w="75" w:type="dxa"/>
              <w:bottom w:w="75" w:type="dxa"/>
              <w:right w:w="75" w:type="dxa"/>
            </w:tcMar>
            <w:vAlign w:val="center"/>
          </w:tcPr>
          <w:p w14:paraId="51D97348" w14:textId="4BD0319C" w:rsidR="002B6434" w:rsidRDefault="002B6434">
            <w:pPr>
              <w:jc w:val="left"/>
            </w:pPr>
            <w:r>
              <w:t>Latvijas Tirdzniecības un rūpniecības kamera</w:t>
            </w:r>
            <w:r w:rsidR="00674C5A">
              <w:t xml:space="preserve"> (saņemts e-pastā)</w:t>
            </w:r>
          </w:p>
        </w:tc>
        <w:tc>
          <w:tcPr>
            <w:tcW w:w="4056" w:type="dxa"/>
            <w:shd w:val="clear" w:color="auto" w:fill="FFFFFF"/>
            <w:noWrap/>
            <w:tcMar>
              <w:top w:w="75" w:type="dxa"/>
              <w:left w:w="75" w:type="dxa"/>
              <w:bottom w:w="75" w:type="dxa"/>
              <w:right w:w="75" w:type="dxa"/>
            </w:tcMar>
            <w:vAlign w:val="center"/>
          </w:tcPr>
          <w:p w14:paraId="54823E4D" w14:textId="77777777" w:rsidR="00C833B9" w:rsidRDefault="00C833B9" w:rsidP="00C833B9">
            <w:pPr>
              <w:jc w:val="left"/>
            </w:pPr>
            <w:r>
              <w:t>Par likumprojektu “Grozījumi Augstskolu likumā” (25-TA-1838)</w:t>
            </w:r>
          </w:p>
          <w:p w14:paraId="239CF7AD" w14:textId="77777777" w:rsidR="00C833B9" w:rsidRDefault="00C833B9" w:rsidP="00C833B9">
            <w:pPr>
              <w:jc w:val="left"/>
            </w:pPr>
          </w:p>
          <w:p w14:paraId="57D66A4F" w14:textId="77777777" w:rsidR="00C833B9" w:rsidRDefault="00C833B9" w:rsidP="00C833B9">
            <w:pPr>
              <w:jc w:val="left"/>
            </w:pPr>
            <w:r>
              <w:t>Latvijas Tirdzniecības un rūpniecības kamera (turpmāk – LTRK) ir iepazinusies ar Izglītības un zinātnes ministrijas sagatavoto likumprojekta “Grozījumi Augstskolu likumā”  (25-TA-1838), redakciju un sniedz sekojošus apsvērumus, kā arī konceptuāli iebilst pret šī likumprojekta turpmāku virzību.</w:t>
            </w:r>
          </w:p>
          <w:p w14:paraId="57B936F5" w14:textId="77777777" w:rsidR="00C833B9" w:rsidRDefault="00C833B9" w:rsidP="00C833B9">
            <w:pPr>
              <w:jc w:val="left"/>
            </w:pPr>
            <w:r>
              <w:t xml:space="preserve">Īstenojamā augstākās izglītības finansēšanas modeļa maiņa faktiski uzsākta ar 2015.gada 29.jūnijā Ministru kabinetā apstiprināto konceptuālo ziņojumu “Jauna augstākās izglītības finansēšanas modeļa ieviešana Latvijā”. Šī konceptuālā ziņojuma 1.3.1. punktā (3. tabula) norādītas </w:t>
            </w:r>
            <w:r>
              <w:lastRenderedPageBreak/>
              <w:t>esošās augstākās izglītības sistēmas stiprās un vājās puses. Starp stiprajām pusēm norādītas – “Daudzveidīga AI sistēma (daudz iestāžu, nišas spēlētāji, dažādi profili, valsts/privātās)” un “Liels skaits privāto AII”. Starp vājām pusēm norādīts, ka “nav skaidras pieejas valsts finansējuma lomai privātajās AII”. Savukārt likumprojekta anotācijā norādīts, ka “spēku zaudēs tiesību norma, uz kuras pamata izdoti Ministru kabineta 2006.gada 12. decembra noteikumus Nr. 994 “Kārtība, kādā augstskolas un koledžas tiek finansētas no valsts budžeta līdzekļiem” (turpmāk- MK noteikumi Nr. 994), nepieciešams izdot jaunus noteikumus atbilstoši jaunās normas deleģējumam, ietverot kārtību, kādā tiks piešķirts finansējums studiju nodrošināšanai un snieguma finansējums”.</w:t>
            </w:r>
          </w:p>
          <w:p w14:paraId="777E422C" w14:textId="77777777" w:rsidR="00C833B9" w:rsidRDefault="00C833B9" w:rsidP="00C833B9">
            <w:pPr>
              <w:jc w:val="left"/>
            </w:pPr>
            <w:r>
              <w:t xml:space="preserve">Tādējādi uzskatām, lai veicinātu augstākās izglītības sistēmas stipro pušu attīstību, </w:t>
            </w:r>
            <w:r>
              <w:lastRenderedPageBreak/>
              <w:t xml:space="preserve">likumprojektā nepieciešams ietvert arī skaidrus un saprotamus kritērijus, pēc kādiem privātās augstskolas arī turpmāk varēs pretendēt uz valsts finansētam studiju vietām,  kas noteikti veicinātu godīgu konkurenci starp dažādām augstskolām, kā arī piedāvāto studiju programmu atbilstību darba tirgus prasībām. </w:t>
            </w:r>
          </w:p>
          <w:p w14:paraId="41BD84C6" w14:textId="77777777" w:rsidR="00C833B9" w:rsidRDefault="00C833B9" w:rsidP="00C833B9">
            <w:pPr>
              <w:jc w:val="left"/>
            </w:pPr>
            <w:r>
              <w:t xml:space="preserve">Anotācijā cita starpā noteikts, ka “likumprojekts paredz atteikties no tā, ka Izglītības un zinātnes ministrija (turpmāk – IZM) un Augstākās izglītības padome nosaka valsts budžeta finansēto vietu skaitu augstskolās un studiju programmās, tai vietā deleģējot tiesības pašai augstskolai noteikt studiju vietu skaitu. Valsts augstskolas padome varēs kopējā finansējuma ietvaros pieņemt racionālākus lēmumus par to, cik studējošo tiek uzņemti un pēc kādiem kritērijiem, koncentrējot resursus uz studējošiem, kuriem sekmes ir pietiekošas studiju pabeigšanai. Šīs pārmaiņas arī </w:t>
            </w:r>
            <w:r>
              <w:lastRenderedPageBreak/>
              <w:t xml:space="preserve">novērsīs finansiālo stimulu kavēties ar nesekmīgo studējošo atskaitīšanu, tai vietā koncentrējot resursus - gan finanšu līdzekļus, gan akadēmiskā personāla darbu - uz studijās progresējošo studējošo izglītošanu.” </w:t>
            </w:r>
          </w:p>
          <w:p w14:paraId="1E9B8443" w14:textId="77777777" w:rsidR="00C833B9" w:rsidRDefault="00C833B9" w:rsidP="00C833B9">
            <w:pPr>
              <w:jc w:val="left"/>
            </w:pPr>
            <w:r>
              <w:t xml:space="preserve">Sakarā ar šo valsts augstskolām paredzēto deleģējumu nav skaidrs, ar kādiem tieši tiesiskiem līdzekļiem tiks nodrošināta deklarētā studiju programmu atbilstība darba tirgus vajadzībām, kādā tieši veidā savas funkcijas varēs īstenot, piemēram, Cilvēkkapitāla padome (06.06.2023 MK noteikumi Nr.290). Tādējādi būtu rūpīgi izvērtējams, vai ar pārāk plašu deleģējumu netiek pārkāpts arī Valsts pārvaldes iekārtas likuma 41.panta otrajā daļā ietvertais aizliegums deleģēt: </w:t>
            </w:r>
          </w:p>
          <w:p w14:paraId="4F2DBA22" w14:textId="77777777" w:rsidR="00C833B9" w:rsidRDefault="00C833B9" w:rsidP="00C833B9">
            <w:pPr>
              <w:jc w:val="left"/>
            </w:pPr>
            <w:r>
              <w:t>1) nozares politikas veidošanu un attīstības plānošanu;</w:t>
            </w:r>
          </w:p>
          <w:p w14:paraId="284A823F" w14:textId="77777777" w:rsidR="00C833B9" w:rsidRDefault="00C833B9" w:rsidP="00C833B9">
            <w:pPr>
              <w:jc w:val="left"/>
            </w:pPr>
            <w:r>
              <w:t>2) nozares darbības koordināciju;</w:t>
            </w:r>
          </w:p>
          <w:p w14:paraId="4D7360D6" w14:textId="77777777" w:rsidR="00C833B9" w:rsidRDefault="00C833B9" w:rsidP="00C833B9">
            <w:pPr>
              <w:jc w:val="left"/>
            </w:pPr>
            <w:r>
              <w:t>3) iestāžu un pārvaldes amatpersonu uzraudzību;</w:t>
            </w:r>
          </w:p>
          <w:p w14:paraId="5E56C330" w14:textId="77777777" w:rsidR="00C833B9" w:rsidRDefault="00C833B9" w:rsidP="00C833B9">
            <w:pPr>
              <w:jc w:val="left"/>
            </w:pPr>
            <w:r>
              <w:lastRenderedPageBreak/>
              <w:t>4) publisku personu budžeta apstiprināšanu, finansu resursu sadali programmu un apakšprogrammu līmenī, finansu resursu kontroli.</w:t>
            </w:r>
          </w:p>
          <w:p w14:paraId="418AF349" w14:textId="77777777" w:rsidR="00C833B9" w:rsidRDefault="00C833B9" w:rsidP="00C833B9">
            <w:pPr>
              <w:jc w:val="left"/>
            </w:pPr>
            <w:r>
              <w:t xml:space="preserve">Par trūkumiem likumprojekta izstrādes gaitā liecina arī apstāklis, ka anotācijas sadaļā 2.2.5. par ietekmi uz konkurenci norādīts, ka ietekmes uz konkurenci nebūs. Gluži otrādi, veidam, kādā tiek sadalīts valsts budžeta finansējums, ir tieša ietekme uz godīgu konkurenci starp valsts un privātām augstskolām. Tāpēc, precizējot likumprojektu, vērā ņemami arī pievienotajā Konkurences padomes vēstulē norādītie apsvērumi. </w:t>
            </w:r>
          </w:p>
          <w:p w14:paraId="0AA4121D" w14:textId="77777777" w:rsidR="00C833B9" w:rsidRDefault="00C833B9" w:rsidP="00C833B9">
            <w:pPr>
              <w:jc w:val="left"/>
            </w:pPr>
            <w:r>
              <w:t xml:space="preserve">Ņemot vērā iepriekš izklāstītos apsvērumus, LTRK uzskata, ka likumprojekta turpmāka virzība pašreizējā redakcijā nav pieļaujama. Līdz ar to LTRK aicina apturēt šī likumprojekta virzību un veikt papildu izvērtējumu, lai nodrošinātu, ka piedāvātās izmaiņas atbilst labas </w:t>
            </w:r>
            <w:r>
              <w:lastRenderedPageBreak/>
              <w:t>pārvaldības principiem, neveido nepamatotas priekšrocības atsevišķām institūcijām un sekmē līdzsvarotu, konkurētspējīgu un darba tirgus vajadzībām atbilstošu augstākās izglītības sistēmu.</w:t>
            </w:r>
          </w:p>
          <w:p w14:paraId="535786CD" w14:textId="77777777" w:rsidR="00C833B9" w:rsidRDefault="00C833B9" w:rsidP="00C833B9">
            <w:pPr>
              <w:jc w:val="left"/>
            </w:pPr>
          </w:p>
          <w:p w14:paraId="5FDB3D03" w14:textId="77777777" w:rsidR="00C833B9" w:rsidRDefault="00C833B9" w:rsidP="00C833B9">
            <w:pPr>
              <w:jc w:val="left"/>
            </w:pPr>
          </w:p>
          <w:p w14:paraId="78C0946C" w14:textId="77777777" w:rsidR="00C833B9" w:rsidRDefault="00C833B9" w:rsidP="00C833B9">
            <w:pPr>
              <w:jc w:val="left"/>
            </w:pPr>
            <w:r>
              <w:t>Ar cieņu</w:t>
            </w:r>
            <w:r>
              <w:tab/>
            </w:r>
          </w:p>
          <w:p w14:paraId="1E2865FA" w14:textId="0F0AE880" w:rsidR="002B6434" w:rsidRDefault="00C833B9" w:rsidP="00C833B9">
            <w:pPr>
              <w:jc w:val="left"/>
            </w:pPr>
            <w:r>
              <w:t xml:space="preserve">LTRK valdes loceklis </w:t>
            </w:r>
            <w:r>
              <w:tab/>
              <w:t>Jānis Lielpēteris</w:t>
            </w:r>
          </w:p>
        </w:tc>
        <w:tc>
          <w:tcPr>
            <w:tcW w:w="1650" w:type="dxa"/>
            <w:shd w:val="clear" w:color="auto" w:fill="FFFFFF"/>
            <w:noWrap/>
            <w:tcMar>
              <w:top w:w="75" w:type="dxa"/>
              <w:left w:w="75" w:type="dxa"/>
              <w:bottom w:w="75" w:type="dxa"/>
              <w:right w:w="75" w:type="dxa"/>
            </w:tcMar>
            <w:vAlign w:val="center"/>
          </w:tcPr>
          <w:p w14:paraId="0EDCF2FA" w14:textId="77777777" w:rsidR="002B6434" w:rsidRDefault="002B6434">
            <w:pPr>
              <w:jc w:val="left"/>
            </w:pPr>
          </w:p>
        </w:tc>
        <w:tc>
          <w:tcPr>
            <w:tcW w:w="4056" w:type="dxa"/>
            <w:shd w:val="clear" w:color="auto" w:fill="FFFFFF"/>
            <w:noWrap/>
            <w:tcMar>
              <w:top w:w="75" w:type="dxa"/>
              <w:left w:w="75" w:type="dxa"/>
              <w:bottom w:w="75" w:type="dxa"/>
              <w:right w:w="75" w:type="dxa"/>
            </w:tcMar>
            <w:vAlign w:val="center"/>
          </w:tcPr>
          <w:p w14:paraId="41282267" w14:textId="77777777" w:rsidR="00DF6186" w:rsidRDefault="00DF6186" w:rsidP="00DF6186">
            <w:pPr>
              <w:jc w:val="left"/>
            </w:pPr>
            <w:r>
              <w:t>Izglītības un zinātnes ministrija (turpmāk – IZM) ir saņēmusi Latvijas Tirdzniecības un rūpniecības kameras (turpmāk – LTRK) vēstuli par likumprojektu “Grozījumi Augstskolu likumā” (25-TA-1838) un pateicas par viedokļa paušanu un iesaisti augstākās izglītības politikas veidošanā.</w:t>
            </w:r>
          </w:p>
          <w:p w14:paraId="3BBC982B" w14:textId="77777777" w:rsidR="00DF6186" w:rsidRDefault="00DF6186" w:rsidP="00DF6186">
            <w:pPr>
              <w:jc w:val="left"/>
            </w:pPr>
            <w:r>
              <w:t xml:space="preserve">Vēlamies uzsvērt, ka piedāvātie grozījumi nav vērtējami atrauti no kopējā augstākās izglītības politikas ietvara. Tie ir mērķtiecīgs un loģisks turpinājums valdības apstiprinātajam konceptuālajam ziņojumam "Par augstākās izglītības institucionālo finansēšanu", kas nosaka pāreju uz jaunu, uz sniegumu balstītu finansēšanas modeli. Atbildot uz </w:t>
            </w:r>
            <w:r>
              <w:lastRenderedPageBreak/>
              <w:t>Jūsu paustajiem apsvērumiem, IZM secīgi sniedz savu redzējumu.</w:t>
            </w:r>
          </w:p>
          <w:p w14:paraId="4D267FCA" w14:textId="77777777" w:rsidR="00DF6186" w:rsidRDefault="00DF6186" w:rsidP="00DF6186">
            <w:pPr>
              <w:jc w:val="left"/>
            </w:pPr>
            <w:r>
              <w:t>IZM nepiekrīt apgalvojumam, ka likumprojekts neveicina godīgu konkurenci vai nerada skaidrību par privāto augstākās izglītības iestāžu (AII) finansēšanu. Likumprojekts paredz iespēju no valsts budžeta līdzekļiem finansēt arī privātās AII, ja tās īsteno valstij nepieciešamas studiju programmas un spēj uzrādīt kvalitatīvu sniegumu. Sīkāks detalizējums par kritērijiem un finansējuma piešķiršanas kārtību, kas nodrošinās vienlīdzīgus nosacījumus visām augstākās izglītības iestādēm, tiks atrunāts saistošajos Ministru kabineta noteikumos.</w:t>
            </w:r>
          </w:p>
          <w:p w14:paraId="59013DE0" w14:textId="77777777" w:rsidR="00DF6186" w:rsidRDefault="00DF6186" w:rsidP="00DF6186">
            <w:pPr>
              <w:jc w:val="left"/>
            </w:pPr>
            <w:r>
              <w:t xml:space="preserve">Tāpat IZM nepiekrīt bažām, ka augstskolu autonomija mazinās studiju programmu atbilstību darba tirgus vajadzībām. Jaunais modelis šo sasaisti stiprina ar diviem konkrētiem mehānismiem. Pirmkārt, IZM joprojām definēs </w:t>
            </w:r>
            <w:r>
              <w:lastRenderedPageBreak/>
              <w:t>valstij un darba tirgum prioritārās jomas un veiks konkrēta absolventu skaita pasūtījumu. Otrkārt, kā galvenais stimuls kalpos uz sniegumu balstīts finansējums. Dati liecina par ciešu sasaisti ar darba tirgu jau šobrīd – absolventu nodarbinātība ir vidēji 87-88% līmenī, un viņu ienākumi jau pirmajā gadā pēc studijām ir par aptuveni 26% augstāki nekā vidējā alga valstī.</w:t>
            </w:r>
          </w:p>
          <w:p w14:paraId="1FAF9DE2" w14:textId="77777777" w:rsidR="00DF6186" w:rsidRDefault="00DF6186" w:rsidP="00DF6186">
            <w:pPr>
              <w:jc w:val="left"/>
            </w:pPr>
            <w:r>
              <w:t>Attiecībā uz LTRK pausto par deleģējuma plašumu, IZM vērš uzmanību, ka augstākās izglītības iestāžu institucionālā autonomija ir viens no stūrakmeņiem, kas nostiprināts jau minētajā konceptuālajā ziņojumā. Pāreja no detalizētas mikroplānošanas uz stratēģiskiem līgumiem un snieguma finansējumu, kā tas paredzēts ziņojumā, ir vērsta uz augstskolu pārvaldības uzlabošanu un atbildības palielināšanu.</w:t>
            </w:r>
          </w:p>
          <w:p w14:paraId="4D621B6A" w14:textId="2F48A2F8" w:rsidR="002B6434" w:rsidRDefault="00DF6186" w:rsidP="00DF6186">
            <w:pPr>
              <w:jc w:val="left"/>
            </w:pPr>
            <w:r>
              <w:t xml:space="preserve">Ņemot vērā augstāk minētos argumentus, IZM nepiekrīt aicinājumam apturēt </w:t>
            </w:r>
            <w:r>
              <w:lastRenderedPageBreak/>
              <w:t>likumprojekta virzību. IZM uzskata, ka likumprojekta tālāka virzība un pieņemšana ir būtiska augstākās izglītības sistēmas attīstībai un konkurētspējas celšanai. IZM aicina LTRK turpināt piedalīties konstruktīvā dialogā likumprojekta apspriešanas gaitā Saeimā un saistīto Ministru kabineta noteikumu izstrādē.</w:t>
            </w:r>
          </w:p>
        </w:tc>
      </w:tr>
    </w:tbl>
    <w:p w14:paraId="06B9691C" w14:textId="77777777" w:rsidR="00D80EA2" w:rsidRDefault="00D80EA2"/>
    <w:tbl>
      <w:tblPr>
        <w:tblStyle w:val="a"/>
        <w:tblW w:w="14567" w:type="dxa"/>
        <w:tblLayout w:type="fixed"/>
        <w:tblLook w:val="0600" w:firstRow="0" w:lastRow="0" w:firstColumn="0" w:lastColumn="0" w:noHBand="1" w:noVBand="1"/>
      </w:tblPr>
      <w:tblGrid>
        <w:gridCol w:w="4855"/>
        <w:gridCol w:w="4856"/>
        <w:gridCol w:w="4856"/>
      </w:tblGrid>
      <w:tr w:rsidR="00D80EA2" w14:paraId="15901587" w14:textId="77777777">
        <w:tc>
          <w:tcPr>
            <w:tcW w:w="4855" w:type="dxa"/>
            <w:shd w:val="clear" w:color="auto" w:fill="FFFFFF"/>
            <w:noWrap/>
            <w:tcMar>
              <w:top w:w="75" w:type="dxa"/>
              <w:left w:w="75" w:type="dxa"/>
              <w:bottom w:w="75" w:type="dxa"/>
              <w:right w:w="75" w:type="dxa"/>
            </w:tcMar>
            <w:vAlign w:val="center"/>
          </w:tcPr>
          <w:p w14:paraId="1201FA9E" w14:textId="77777777" w:rsidR="00D80EA2"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0F82FA6" w14:textId="77777777" w:rsidR="00D80EA2" w:rsidRDefault="00D80EA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C48F29B" w14:textId="77777777" w:rsidR="00D80EA2" w:rsidRDefault="00D80EA2"/>
        </w:tc>
      </w:tr>
      <w:tr w:rsidR="00D80EA2" w14:paraId="2936E10D" w14:textId="77777777">
        <w:tc>
          <w:tcPr>
            <w:tcW w:w="4855" w:type="dxa"/>
            <w:shd w:val="clear" w:color="auto" w:fill="FFFFFF"/>
            <w:noWrap/>
            <w:tcMar>
              <w:top w:w="75" w:type="dxa"/>
              <w:left w:w="75" w:type="dxa"/>
              <w:bottom w:w="75" w:type="dxa"/>
              <w:right w:w="75" w:type="dxa"/>
            </w:tcMar>
            <w:vAlign w:val="center"/>
          </w:tcPr>
          <w:p w14:paraId="5396A133" w14:textId="77777777" w:rsidR="00D80EA2" w:rsidRDefault="00D80EA2"/>
        </w:tc>
        <w:tc>
          <w:tcPr>
            <w:tcW w:w="4856" w:type="dxa"/>
            <w:shd w:val="clear" w:color="auto" w:fill="FFFFFF"/>
            <w:noWrap/>
            <w:tcMar>
              <w:top w:w="75" w:type="dxa"/>
              <w:left w:w="75" w:type="dxa"/>
              <w:bottom w:w="75" w:type="dxa"/>
              <w:right w:w="75" w:type="dxa"/>
            </w:tcMar>
            <w:vAlign w:val="center"/>
          </w:tcPr>
          <w:p w14:paraId="54B31477" w14:textId="77777777" w:rsidR="00D80EA2"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75250B7E" w14:textId="77777777" w:rsidR="00D80EA2" w:rsidRDefault="00D80EA2"/>
        </w:tc>
      </w:tr>
      <w:tr w:rsidR="00D80EA2" w14:paraId="6D87682A" w14:textId="77777777">
        <w:tc>
          <w:tcPr>
            <w:tcW w:w="4855" w:type="dxa"/>
            <w:shd w:val="clear" w:color="auto" w:fill="FFFFFF"/>
            <w:noWrap/>
            <w:tcMar>
              <w:top w:w="75" w:type="dxa"/>
              <w:left w:w="75" w:type="dxa"/>
              <w:bottom w:w="75" w:type="dxa"/>
              <w:right w:w="75" w:type="dxa"/>
            </w:tcMar>
            <w:vAlign w:val="center"/>
          </w:tcPr>
          <w:p w14:paraId="3964885D" w14:textId="77777777" w:rsidR="00D80EA2"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60D02D0D" w14:textId="77777777" w:rsidR="00D80EA2" w:rsidRDefault="00D80EA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D5D40B0" w14:textId="77777777" w:rsidR="00D80EA2" w:rsidRDefault="00D80EA2"/>
        </w:tc>
      </w:tr>
      <w:tr w:rsidR="00D80EA2" w14:paraId="2AF16136" w14:textId="77777777">
        <w:tc>
          <w:tcPr>
            <w:tcW w:w="4855" w:type="dxa"/>
            <w:shd w:val="clear" w:color="auto" w:fill="FFFFFF"/>
            <w:noWrap/>
            <w:tcMar>
              <w:top w:w="75" w:type="dxa"/>
              <w:left w:w="75" w:type="dxa"/>
              <w:bottom w:w="75" w:type="dxa"/>
              <w:right w:w="75" w:type="dxa"/>
            </w:tcMar>
            <w:vAlign w:val="center"/>
          </w:tcPr>
          <w:p w14:paraId="7EB4175A" w14:textId="77777777" w:rsidR="00D80EA2" w:rsidRDefault="00D80EA2"/>
        </w:tc>
        <w:tc>
          <w:tcPr>
            <w:tcW w:w="4856" w:type="dxa"/>
            <w:shd w:val="clear" w:color="auto" w:fill="FFFFFF"/>
            <w:noWrap/>
            <w:tcMar>
              <w:top w:w="75" w:type="dxa"/>
              <w:left w:w="75" w:type="dxa"/>
              <w:bottom w:w="75" w:type="dxa"/>
              <w:right w:w="75" w:type="dxa"/>
            </w:tcMar>
            <w:vAlign w:val="center"/>
          </w:tcPr>
          <w:p w14:paraId="5DF0E0E3" w14:textId="77777777" w:rsidR="00D80EA2"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7CF054C7" w14:textId="77777777" w:rsidR="00D80EA2" w:rsidRDefault="00D80EA2"/>
        </w:tc>
      </w:tr>
    </w:tbl>
    <w:p w14:paraId="092B2578" w14:textId="77777777" w:rsidR="00D80EA2" w:rsidRDefault="00D80EA2"/>
    <w:p w14:paraId="57491FB2" w14:textId="77777777" w:rsidR="00D80EA2" w:rsidRDefault="00000000">
      <w:r>
        <w:t>Piezīmes.</w:t>
      </w:r>
    </w:p>
    <w:p w14:paraId="2B51C4DC" w14:textId="77777777" w:rsidR="00D80EA2" w:rsidRDefault="00000000">
      <w:r>
        <w:t>* Iesniedzējs (fiziskai personai – vārds, uzvārds, juridiskai personai – nosaukums) var tikt publiskots, ja viņš tam ir piekritis. Ja attiecināms, iesniedzējs norāda interešu pārstāvja reģistrācijas numuru.</w:t>
      </w:r>
    </w:p>
    <w:p w14:paraId="7AF9F38D" w14:textId="77777777" w:rsidR="00D80EA2" w:rsidRDefault="00000000">
      <w:r>
        <w:t>** Dokumenta rekvizītus "datums" un "paraksts" neaizpilda, ja elektroniskais dokuments ir sagatavots atbilstoši normatīvajiem aktiem par elektronisko dokumentu noformēšanu.</w:t>
      </w:r>
    </w:p>
    <w:sectPr w:rsidR="00D80EA2">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1172" w14:textId="77777777" w:rsidR="00F44171" w:rsidRDefault="00F44171">
      <w:r>
        <w:separator/>
      </w:r>
    </w:p>
  </w:endnote>
  <w:endnote w:type="continuationSeparator" w:id="0">
    <w:p w14:paraId="2C4ED769" w14:textId="77777777" w:rsidR="00F44171" w:rsidRDefault="00F4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CDFD" w14:textId="77777777" w:rsidR="00D80EA2" w:rsidRDefault="00000000">
    <w:pPr>
      <w:jc w:val="right"/>
    </w:pPr>
    <w:r>
      <w:rPr>
        <w:sz w:val="24"/>
        <w:szCs w:val="24"/>
      </w:rPr>
      <w:fldChar w:fldCharType="begin"/>
    </w:r>
    <w:r>
      <w:rPr>
        <w:sz w:val="24"/>
        <w:szCs w:val="24"/>
      </w:rPr>
      <w:instrText>PAGE</w:instrText>
    </w:r>
    <w:r>
      <w:rPr>
        <w:sz w:val="24"/>
        <w:szCs w:val="24"/>
      </w:rPr>
      <w:fldChar w:fldCharType="separate"/>
    </w:r>
    <w:r w:rsidR="00163C3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1E65" w14:textId="77777777" w:rsidR="00335F71"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357A" w14:textId="77777777" w:rsidR="00F44171" w:rsidRDefault="00F44171">
      <w:r>
        <w:separator/>
      </w:r>
    </w:p>
  </w:footnote>
  <w:footnote w:type="continuationSeparator" w:id="0">
    <w:p w14:paraId="551385FE" w14:textId="77777777" w:rsidR="00F44171" w:rsidRDefault="00F44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8249" w14:textId="77777777" w:rsidR="00D80EA2" w:rsidRDefault="00000000">
    <w:pPr>
      <w:pStyle w:val="Header"/>
      <w:contextualSpacing w:val="0"/>
    </w:pPr>
    <w:r>
      <w:t>Viedokļu pārskats 25-TA-1838</w:t>
    </w:r>
    <w:r>
      <w:br/>
      <w:t>Izdrukāts 20.08.2025. 11.12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817C" w14:textId="77777777" w:rsidR="00D80EA2" w:rsidRDefault="00000000">
    <w:pPr>
      <w:pStyle w:val="Header"/>
      <w:contextualSpacing w:val="0"/>
    </w:pPr>
    <w:r>
      <w:t>Viedokļu pārskats 25-TA-1838</w:t>
    </w:r>
    <w:r>
      <w:br/>
      <w:t>Izdrukāts 20.08.2025. 11.12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80EA2"/>
    <w:rsid w:val="00012D45"/>
    <w:rsid w:val="00163C36"/>
    <w:rsid w:val="00167F04"/>
    <w:rsid w:val="002B6434"/>
    <w:rsid w:val="00335F71"/>
    <w:rsid w:val="00607E47"/>
    <w:rsid w:val="00674C5A"/>
    <w:rsid w:val="006C5F79"/>
    <w:rsid w:val="00983459"/>
    <w:rsid w:val="00A1773E"/>
    <w:rsid w:val="00A46C2A"/>
    <w:rsid w:val="00AA064D"/>
    <w:rsid w:val="00AE54A5"/>
    <w:rsid w:val="00B3596F"/>
    <w:rsid w:val="00C833B9"/>
    <w:rsid w:val="00D80EA2"/>
    <w:rsid w:val="00DF6186"/>
    <w:rsid w:val="00F441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3950"/>
  <w15:docId w15:val="{ADF2CA9E-0392-4DF0-A793-0D49BEB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11</Pages>
  <Words>8603</Words>
  <Characters>4905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viedoklu_parskats_25-TA-1838.docx</vt:lpstr>
    </vt:vector>
  </TitlesOfParts>
  <Company>IZM</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viedoklu_parskats_25-TA-1838.docx</dc:title>
  <cp:lastModifiedBy>Dāvis Dejus</cp:lastModifiedBy>
  <cp:revision>11</cp:revision>
  <dcterms:created xsi:type="dcterms:W3CDTF">2025-08-20T13:24:00Z</dcterms:created>
  <dcterms:modified xsi:type="dcterms:W3CDTF">2025-08-29T08:55:00Z</dcterms:modified>
</cp:coreProperties>
</file>