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032E32" w14:textId="4BDB6641" w:rsidR="000A0DDB" w:rsidRDefault="00000000">
      <w:pPr>
        <w:spacing w:after="240"/>
        <w:jc w:val="center"/>
        <w:rPr>
          <w:b/>
        </w:rPr>
      </w:pPr>
      <w:r>
        <w:rPr>
          <w:b/>
        </w:rPr>
        <w:t>“Publiskās apspriešanas laikā 22.01.2026. - 21.02.2026. saņemto viedokļu, priekšlikumu un iebildumu apkopojums par Grozījumi Ministru kabineta 2022. gada 9. augusta noteikumos Nr.</w:t>
      </w:r>
      <w:r w:rsidR="00B561BB">
        <w:rPr>
          <w:b/>
        </w:rPr>
        <w:t xml:space="preserve"> </w:t>
      </w:r>
      <w:r>
        <w:rPr>
          <w:b/>
        </w:rPr>
        <w:t>491 "Ārstniecības iestāžu reģistra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0A0DDB" w14:paraId="5AE8CB13" w14:textId="77777777">
        <w:tc>
          <w:tcPr>
            <w:tcW w:w="750" w:type="dxa"/>
            <w:shd w:val="clear" w:color="auto" w:fill="FFFFFF"/>
            <w:noWrap/>
            <w:tcMar>
              <w:top w:w="75" w:type="dxa"/>
              <w:left w:w="75" w:type="dxa"/>
              <w:bottom w:w="75" w:type="dxa"/>
              <w:right w:w="75" w:type="dxa"/>
            </w:tcMar>
            <w:vAlign w:val="center"/>
          </w:tcPr>
          <w:p w14:paraId="3D100011" w14:textId="320B0248" w:rsidR="000A0DDB" w:rsidRDefault="00000000">
            <w:pPr>
              <w:jc w:val="center"/>
            </w:pPr>
            <w:r>
              <w:rPr>
                <w:b/>
              </w:rPr>
              <w:t>Nr.p.k.</w:t>
            </w:r>
          </w:p>
        </w:tc>
        <w:tc>
          <w:tcPr>
            <w:tcW w:w="4055" w:type="dxa"/>
            <w:shd w:val="clear" w:color="auto" w:fill="FFFFFF"/>
            <w:noWrap/>
            <w:tcMar>
              <w:top w:w="75" w:type="dxa"/>
              <w:left w:w="75" w:type="dxa"/>
              <w:bottom w:w="75" w:type="dxa"/>
              <w:right w:w="75" w:type="dxa"/>
            </w:tcMar>
            <w:vAlign w:val="center"/>
          </w:tcPr>
          <w:p w14:paraId="29DF6617" w14:textId="77777777" w:rsidR="000A0DDB"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7A5C58FE" w14:textId="77777777" w:rsidR="000A0DDB"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43CF03E8" w14:textId="77777777" w:rsidR="000A0DDB"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77D5AA07" w14:textId="77777777" w:rsidR="000A0DDB" w:rsidRDefault="00000000">
            <w:pPr>
              <w:jc w:val="center"/>
            </w:pPr>
            <w:r>
              <w:rPr>
                <w:b/>
              </w:rPr>
              <w:t>Skaidrojums, kādā veidā viedoklis / priekšlikums / iebildums ir ņemts vērā vai ņemts vērā daļēji, vai pamatojums, ja viedoklis / priekšlikums / iebildums nav ņemts vērā</w:t>
            </w:r>
          </w:p>
        </w:tc>
      </w:tr>
      <w:tr w:rsidR="00B561BB" w14:paraId="0078AE16" w14:textId="77777777">
        <w:tc>
          <w:tcPr>
            <w:tcW w:w="750" w:type="dxa"/>
            <w:shd w:val="clear" w:color="auto" w:fill="FFFFFF"/>
            <w:noWrap/>
            <w:tcMar>
              <w:top w:w="75" w:type="dxa"/>
              <w:left w:w="75" w:type="dxa"/>
              <w:bottom w:w="75" w:type="dxa"/>
              <w:right w:w="75" w:type="dxa"/>
            </w:tcMar>
            <w:vAlign w:val="center"/>
          </w:tcPr>
          <w:p w14:paraId="565CF4B7" w14:textId="5E2830A9" w:rsidR="00B561BB" w:rsidRDefault="00B561BB">
            <w:pPr>
              <w:jc w:val="center"/>
              <w:rPr>
                <w:b/>
              </w:rPr>
            </w:pPr>
            <w:r>
              <w:rPr>
                <w:b/>
              </w:rPr>
              <w:t>1.</w:t>
            </w:r>
          </w:p>
        </w:tc>
        <w:tc>
          <w:tcPr>
            <w:tcW w:w="4055" w:type="dxa"/>
            <w:shd w:val="clear" w:color="auto" w:fill="FFFFFF"/>
            <w:noWrap/>
            <w:tcMar>
              <w:top w:w="75" w:type="dxa"/>
              <w:left w:w="75" w:type="dxa"/>
              <w:bottom w:w="75" w:type="dxa"/>
              <w:right w:w="75" w:type="dxa"/>
            </w:tcMar>
            <w:vAlign w:val="center"/>
          </w:tcPr>
          <w:p w14:paraId="4724ECA4" w14:textId="68F88737" w:rsidR="00B561BB" w:rsidRPr="00B561BB" w:rsidRDefault="00B561BB">
            <w:pPr>
              <w:jc w:val="center"/>
              <w:rPr>
                <w:bCs/>
              </w:rPr>
            </w:pPr>
            <w:r w:rsidRPr="00B561BB">
              <w:rPr>
                <w:bCs/>
              </w:rPr>
              <w:t>Latvijas Ģimenes ārstu asociācija</w:t>
            </w:r>
          </w:p>
        </w:tc>
        <w:tc>
          <w:tcPr>
            <w:tcW w:w="4056" w:type="dxa"/>
            <w:shd w:val="clear" w:color="auto" w:fill="FFFFFF"/>
            <w:noWrap/>
            <w:tcMar>
              <w:top w:w="75" w:type="dxa"/>
              <w:left w:w="75" w:type="dxa"/>
              <w:bottom w:w="75" w:type="dxa"/>
              <w:right w:w="75" w:type="dxa"/>
            </w:tcMar>
            <w:vAlign w:val="center"/>
          </w:tcPr>
          <w:p w14:paraId="6E973973" w14:textId="43AB9842" w:rsidR="00B561BB" w:rsidRDefault="00B561BB" w:rsidP="00B561BB">
            <w:pPr>
              <w:rPr>
                <w:b/>
              </w:rPr>
            </w:pPr>
            <w:r>
              <w:t xml:space="preserve">Biedrība "Latvijas Ģimenes ārstu asociācija" (turpmāk-LĢĀA) jau ilgstoši ir ziņojusi Veselības ministrijai par ģimenes ārstu praksēm nepieciešamo telpu trūkumu, tai skaitā īpaši Rīgā, vēršoties arī Rīgas domē. Diemžēl līdz šim Rīgas valstspilsētas pašvaldībai nav bijušas brīvas telpas, kuras būtu izmantojamas ģimenes ārstu prakšu izveidei. Tikšanās laikā ar Rīgas domes priekšsēdētāju Viesturu Kleinbergu šī gada 11. februārī tikām informēti, ka telpas varētu atbrīvoties izglītības iestādēs, kuras tiks slēgtas bērnu skaita </w:t>
            </w:r>
            <w:r>
              <w:lastRenderedPageBreak/>
              <w:t xml:space="preserve">samazināšanās dēļ atsevišķās apkaimēs. Bet bērnudārzos centrā katastrofāli pietrūkst vietu, līdz ar to apkaimē - centrā, kurā ir vislielākais prakšu skaits, kur trūkst telpas, pašvaldībai īsti nav ko piedāvāt. Telpas visvairāk trūkst Rīgas centrā, Pļavniekos, Purvciemā, arī Āgenskalnā un citur Pārdaugavā. Tikšanās laikā saņēmām ieteikumu risināt jautājumu ar Ekonomikas ministriju par izmaiņām noteikumos, kuri paredz, ka ārstniecības iestāde ir reģistrējama telpās, kam jāatbilst noteiktam telpu lietošanas veidam jeb klasifikatoram, proti, ārstniecības iestādi drīkst reģistrēt tikai tādās telpās, kuru lietošanas veids saskaņā ar Ministru kabineta 2018.gada 12.jūnija noteikumu Nr. 326 "Būvju klasifikācijas noteikumi" (MK noteikumi Nr. </w:t>
            </w:r>
            <w:r>
              <w:lastRenderedPageBreak/>
              <w:t xml:space="preserve">326) 1. pielikuma 92. punktu ir 1264 – ārstniecības vai veselības aprūpes iestāžu telpu grupa. </w:t>
            </w:r>
            <w:r w:rsidRPr="00B561BB">
              <w:t xml:space="preserve">Šī gada februāra sākumā LĢĀA veica aptauju par ģimenes ārstu prakšu par telpu nepieciešamību Rīgā, aicinot atsaukties tikai tos ģimenes ārstus, kuri gatavi mainīt prakses telpas. Aptaujā atsaukušies 52 jeb 12% no Rīgā praktizējošiem ģimenes ārstiem, no tiem 10 ģimenes ārsti ir pilnībā gatavi telpu maiņai, 22 būtu gatavi mainīt prakses telpas, ja tāda iespēja rastos, un apsver domu par prakses telpu maiņu. Kā galvenie iemesli prakses telpu maiņai tiek minēti: 56% telpu izmaksas ir par augstu, 50% telpu platība ir par mazu, 46% telpu skaits ir par mazu, 33% telpu iznomātāja nosacījumi nav pieņemami, 31% kopēja procedūru telpa, 21% kopēja reģistratūra. 37% no šīm praksēm ir reģistrēti vairāk nekā 1800 pacientu, tai skaitā 11% vairāk nekā 2100 pacientu, bet 1501-1800 pacientu ir 32% </w:t>
            </w:r>
            <w:r w:rsidRPr="00B561BB">
              <w:lastRenderedPageBreak/>
              <w:t>prakšu, kuras meklē vai apsver telpu maiņu. Cita starpā ģimenes ārsti nevar piesaistīt papildu darbinieku arī dēļ telpu nepietiekamības un/vai augstām telpu izmaksām. Ar prakšu telpu nomaiņu 95% vēlas nodrošināt sev, darbiniekiem optimālāku darba vietu, labāku darba organizāciju, savukārt, 60% - palielināt iespēju veikt vairāk manipulāciju. Līdz ar to secināms, ka vismaz 12% jeb 52 Rīgas ģimenes ārsti šobrīd vēlas mainīt prakšu telpas, jo viņu darba apstākļi un līdz ar to veselības aprūpes pakalpojumu sniegšanas iespējas pacientiem ir būtiski ierobežotas. LĢĀA ieskatā prakšu telpu vajadzībās ir daudz lielākas, jo šie ir rezultāti par kolēģiem, kuri brīvprātīgi atsaucās 3 dienu laikā gripas epidēmijas laikā. Zinot to, cik ārsta prakses telpu maiņa ir sarežģīta, iespējams, daudzi to neapsver, kaut darba apstākļi un iespējas pacientiem palīdzēt ir ierobežotas telpu dēļ.</w:t>
            </w:r>
            <w:r>
              <w:t xml:space="preserve"> </w:t>
            </w:r>
            <w:r w:rsidRPr="00B561BB">
              <w:lastRenderedPageBreak/>
              <w:t xml:space="preserve">LĢĀA atzinīgi novērtē Veselības ministrijas piedāvāto 2 gadu termiņu pēc ārstniecības iestādes reģistrācijas, lai atrisinātu vides pieejamības prasību nodrošināšanu. Tomēr attiecībā uz "nekustamā īpašuma lietošanas veida maiņu, ja ārstniecības iestāde vai tās filiāle atrodas telpu grupā, kurā Valsts zemes dienesta kadastrā kā telpu lietošanas veids nav norādīts "Ārstniecības vai veselības aprūpes iestāžu ēkas, telpas" aicinām to neattiecināt uz ģimenes ārstu praksēm līdzīgi kā tas Anotācijā norādīts, ka "(nav attiecināms uz sociālo pakalpojumu sniedzēju veselības punktu)" vai citādāk. Tas ir nepieciešams, lai mazināt birokrātiju un faktiskos šķēršļus, kad iznomātājas nebūs pietiekami ieinteresēts vai nevarēs nodrošināt paredzēto telpu lietošanas veida maiņu, kā rezultātā tikpat maz ģimenes ārstu būs gatavi riskēt mainīt prakses vietu, jo nebūs drošība, ka būs iespējams palikt </w:t>
            </w:r>
            <w:r w:rsidRPr="00B561BB">
              <w:lastRenderedPageBreak/>
              <w:t>jaunajās telpās, kur daudz būs jāiegulda. Tādējādi it kā dotā iespēja varētu netikt izmantota labākajā mērā pacientu interesēs. Līdz ar to LĢĀA aicina izslēgt būvju klasifikācijas kodu norādīšanu vai norādīt, ka nav attiecināms: pārņemot ģimenes (vispārējās prakses) ārsta praksi, vai ģimenes (vispārējās prakses) ārsta praksei vai feldšerpunktam mainot veselības aprūpes pakalpojuma sniegšanas vietu (adresi) vai uzņēmējdarbības formu. LĢĀA aicina risināt jautājumu par tā izslēgšanu vai neattiecināšanu arī saistītos normatīvajos aktos kopā ar citām atbildīgām iestādēm (ja nepieciešams Ministru kabineta 2018.gada 12.jūnija noteikumi Nr. 326 "Būvju klasifikācijas noteikumi", piemēram, ar Ekonomikas ministriju, Tieslietu ministriju).</w:t>
            </w:r>
          </w:p>
        </w:tc>
        <w:tc>
          <w:tcPr>
            <w:tcW w:w="1650" w:type="dxa"/>
            <w:shd w:val="clear" w:color="auto" w:fill="FFFFFF"/>
            <w:noWrap/>
            <w:tcMar>
              <w:top w:w="75" w:type="dxa"/>
              <w:left w:w="75" w:type="dxa"/>
              <w:bottom w:w="75" w:type="dxa"/>
              <w:right w:w="75" w:type="dxa"/>
            </w:tcMar>
            <w:vAlign w:val="center"/>
          </w:tcPr>
          <w:p w14:paraId="3A83E3DE" w14:textId="2DA4FAEE" w:rsidR="00B561BB" w:rsidRDefault="00B561BB">
            <w:pPr>
              <w:jc w:val="center"/>
              <w:rPr>
                <w:b/>
              </w:rPr>
            </w:pPr>
            <w:r>
              <w:rPr>
                <w:b/>
              </w:rPr>
              <w:lastRenderedPageBreak/>
              <w:t>Ņemts vērā</w:t>
            </w:r>
          </w:p>
        </w:tc>
        <w:tc>
          <w:tcPr>
            <w:tcW w:w="4056" w:type="dxa"/>
            <w:shd w:val="clear" w:color="auto" w:fill="FFFFFF"/>
            <w:noWrap/>
            <w:tcMar>
              <w:top w:w="75" w:type="dxa"/>
              <w:left w:w="75" w:type="dxa"/>
              <w:bottom w:w="75" w:type="dxa"/>
              <w:right w:w="75" w:type="dxa"/>
            </w:tcMar>
            <w:vAlign w:val="center"/>
          </w:tcPr>
          <w:p w14:paraId="5F0A2D58"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color w:val="000000"/>
                <w:sz w:val="24"/>
                <w:szCs w:val="24"/>
              </w:rPr>
              <w:t>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(turpmāk - 4.1.1.3. pasākums) otrās kārtas ietvaros pieejams atbalsta finansējums primārās veselības aprūpes pakalpojumu sniedzēju </w:t>
            </w:r>
            <w:r w:rsidRPr="00B561BB">
              <w:rPr>
                <w:rFonts w:ascii="Aptos" w:hAnsi="Aptos"/>
                <w:color w:val="000000"/>
                <w:sz w:val="24"/>
                <w:szCs w:val="24"/>
                <w:u w:val="single"/>
              </w:rPr>
              <w:t>infrastruktūras</w:t>
            </w:r>
            <w:r w:rsidRPr="00B561BB">
              <w:rPr>
                <w:rFonts w:ascii="Aptos" w:hAnsi="Aptos"/>
                <w:color w:val="000000"/>
                <w:sz w:val="24"/>
                <w:szCs w:val="24"/>
              </w:rPr>
              <w:t xml:space="preserve"> attīstībai (ģimenes ārstu tīkla attīstība), nodrošinot iespēju uzlabot gan telpas, gan darba apstākļus </w:t>
            </w:r>
            <w:r w:rsidRPr="00B561BB">
              <w:rPr>
                <w:rFonts w:ascii="Aptos" w:hAnsi="Aptos"/>
                <w:color w:val="000000"/>
                <w:sz w:val="24"/>
                <w:szCs w:val="24"/>
              </w:rPr>
              <w:lastRenderedPageBreak/>
              <w:t>medicīnas darbiniekiem.</w:t>
            </w:r>
          </w:p>
          <w:p w14:paraId="247A849A" w14:textId="4CA76368"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i/>
                <w:iCs/>
                <w:color w:val="000000"/>
                <w:sz w:val="24"/>
                <w:szCs w:val="24"/>
              </w:rPr>
              <w:t> </w:t>
            </w:r>
            <w:r w:rsidRPr="00B561BB">
              <w:rPr>
                <w:rFonts w:ascii="Aptos" w:hAnsi="Aptos"/>
                <w:color w:val="000000"/>
                <w:sz w:val="24"/>
                <w:szCs w:val="24"/>
              </w:rPr>
              <w:t>Informējam, ka atbalsta finansējums pieejams atklātas projektu iesniegumu atlases ietvaros, līdz ar to uz ES fondu atbalsta saņemšanu var pretendēt ģimenes ārstu prakses, kas atbilst MK noteikumos</w:t>
            </w:r>
            <w:r>
              <w:rPr>
                <w:rStyle w:val="FootnoteReference"/>
                <w:rFonts w:ascii="Aptos" w:hAnsi="Aptos"/>
                <w:color w:val="000000"/>
                <w:sz w:val="24"/>
                <w:szCs w:val="24"/>
              </w:rPr>
              <w:footnoteReference w:id="1"/>
            </w:r>
            <w:r w:rsidRPr="00B561BB">
              <w:rPr>
                <w:rFonts w:ascii="Aptos" w:hAnsi="Aptos"/>
                <w:color w:val="000000"/>
                <w:sz w:val="24"/>
                <w:szCs w:val="24"/>
              </w:rPr>
              <w:t>iekļautajiem nosacījumiem neatkarīgi no teritoriālā izvietojuma</w:t>
            </w:r>
            <w:r w:rsidRPr="00B561BB">
              <w:rPr>
                <w:rFonts w:ascii="Aptos" w:hAnsi="Aptos"/>
                <w:i/>
                <w:iCs/>
                <w:color w:val="000000"/>
                <w:sz w:val="24"/>
                <w:szCs w:val="24"/>
              </w:rPr>
              <w:t>.</w:t>
            </w:r>
            <w:r w:rsidRPr="00B561BB">
              <w:rPr>
                <w:rFonts w:ascii="Aptos" w:hAnsi="Aptos"/>
                <w:color w:val="000000"/>
                <w:sz w:val="24"/>
                <w:szCs w:val="24"/>
              </w:rPr>
              <w:t> Papildus informējam, </w:t>
            </w:r>
            <w:r w:rsidRPr="00B561BB">
              <w:rPr>
                <w:rFonts w:ascii="Aptos" w:hAnsi="Aptos"/>
                <w:i/>
                <w:iCs/>
                <w:color w:val="000000"/>
                <w:sz w:val="24"/>
                <w:szCs w:val="24"/>
              </w:rPr>
              <w:t>ka </w:t>
            </w:r>
            <w:bookmarkStart w:id="0" w:name="x_x_x__Hlk205535100"/>
            <w:r w:rsidRPr="00B561BB">
              <w:rPr>
                <w:rFonts w:ascii="Aptos" w:hAnsi="Aptos"/>
                <w:i/>
                <w:iCs/>
                <w:color w:val="000000"/>
                <w:sz w:val="24"/>
                <w:szCs w:val="24"/>
                <w:bdr w:val="none" w:sz="0" w:space="0" w:color="auto" w:frame="1"/>
              </w:rPr>
              <w:t>4.1.1.3. pasākuma otrās kārtas</w:t>
            </w:r>
            <w:bookmarkEnd w:id="0"/>
            <w:r w:rsidRPr="00B561BB">
              <w:rPr>
                <w:rFonts w:ascii="Aptos" w:hAnsi="Aptos"/>
                <w:i/>
                <w:iCs/>
                <w:color w:val="000000"/>
                <w:sz w:val="24"/>
                <w:szCs w:val="24"/>
              </w:rPr>
              <w:t> </w:t>
            </w:r>
            <w:bookmarkStart w:id="1" w:name="x_x_x__Hlk205535001"/>
            <w:r w:rsidRPr="00B561BB">
              <w:rPr>
                <w:rFonts w:ascii="Aptos" w:hAnsi="Aptos"/>
                <w:i/>
                <w:iCs/>
                <w:color w:val="000000"/>
                <w:sz w:val="24"/>
                <w:szCs w:val="24"/>
                <w:bdr w:val="none" w:sz="0" w:space="0" w:color="auto" w:frame="1"/>
              </w:rPr>
              <w:t>pirmā projektu iesniegumu atlase </w:t>
            </w:r>
            <w:bookmarkEnd w:id="1"/>
            <w:r w:rsidRPr="00B561BB">
              <w:rPr>
                <w:rFonts w:ascii="Aptos" w:hAnsi="Aptos"/>
                <w:i/>
                <w:iCs/>
                <w:color w:val="000000"/>
                <w:sz w:val="24"/>
                <w:szCs w:val="24"/>
              </w:rPr>
              <w:t>ir noslēgusies.</w:t>
            </w:r>
          </w:p>
          <w:p w14:paraId="0B3DD68C"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color w:val="000000"/>
                <w:sz w:val="24"/>
                <w:szCs w:val="24"/>
              </w:rPr>
              <w:t>Ņemot vērā, ka šī ir atklāta projektu iesniegumu atlase, pirmās projektu iesniegumu atlases ietvaros ir </w:t>
            </w:r>
            <w:r w:rsidRPr="00B561BB">
              <w:rPr>
                <w:rFonts w:ascii="Aptos" w:hAnsi="Aptos"/>
                <w:i/>
                <w:iCs/>
                <w:color w:val="000000"/>
                <w:sz w:val="24"/>
                <w:szCs w:val="24"/>
              </w:rPr>
              <w:t>iesniegti projektu iesniegumi par mazāku summu nekā 4.1.1.3. pasākuma otrās kārtas ietvaros kopumā pieejamais finansējums. Līdz ar to plānota papildu otrā projektu iesniegumu atlases kārta</w:t>
            </w:r>
            <w:r w:rsidRPr="00B561BB">
              <w:rPr>
                <w:rFonts w:ascii="Aptos" w:hAnsi="Aptos"/>
                <w:color w:val="000000"/>
                <w:sz w:val="24"/>
                <w:szCs w:val="24"/>
              </w:rPr>
              <w:t>, </w:t>
            </w:r>
            <w:r w:rsidRPr="00B561BB">
              <w:rPr>
                <w:rFonts w:ascii="Aptos" w:hAnsi="Aptos"/>
                <w:i/>
                <w:iCs/>
                <w:color w:val="000000"/>
                <w:sz w:val="24"/>
                <w:szCs w:val="24"/>
              </w:rPr>
              <w:t>provizoriskais pieejamais finansējums 1,7 milj. euro. </w:t>
            </w:r>
            <w:r w:rsidRPr="00B561BB">
              <w:rPr>
                <w:rFonts w:ascii="Aptos" w:hAnsi="Aptos"/>
                <w:color w:val="000000"/>
                <w:sz w:val="24"/>
                <w:szCs w:val="24"/>
              </w:rPr>
              <w:t xml:space="preserve">Papildu atlase varētu tikt izsludināta 2026. gada pirmajā pusgadā. Projektu īstenošanai atvēlētais laiks būs līdz </w:t>
            </w:r>
            <w:r w:rsidRPr="00B561BB">
              <w:rPr>
                <w:rFonts w:ascii="Aptos" w:hAnsi="Aptos"/>
                <w:color w:val="000000"/>
                <w:sz w:val="24"/>
                <w:szCs w:val="24"/>
              </w:rPr>
              <w:lastRenderedPageBreak/>
              <w:t>2029. gada beigām. Projektu iesniegumu atlases dokumentācija tiks publicēta CFLA tīmekļvietnē </w:t>
            </w:r>
            <w:hyperlink r:id="rId8" w:tgtFrame="_blank" w:tooltip="https://www.cfla.gov.lv/lv/2021-2027-programmas" w:history="1">
              <w:r w:rsidRPr="00B561BB">
                <w:rPr>
                  <w:rFonts w:ascii="Aptos" w:hAnsi="Aptos"/>
                  <w:color w:val="0000FF"/>
                  <w:sz w:val="24"/>
                  <w:szCs w:val="24"/>
                  <w:u w:val="single"/>
                  <w:bdr w:val="none" w:sz="0" w:space="0" w:color="auto" w:frame="1"/>
                </w:rPr>
                <w:t>https://www.cfla.gov.lv/lv/2021-2027-programmas</w:t>
              </w:r>
            </w:hyperlink>
            <w:r w:rsidRPr="00B561BB">
              <w:rPr>
                <w:rFonts w:ascii="Aptos" w:hAnsi="Aptos"/>
                <w:color w:val="000000"/>
                <w:sz w:val="24"/>
                <w:szCs w:val="24"/>
              </w:rPr>
              <w:t>. Papildus vēršam uzmanību, ka pie projektu iesniegumu atlases dokumentācijas tiks iekļauti arī metodiskie norādījumi projekta iesniegumu sagatavošanai un skaidrotas prasības projektu iesniedzējiem, kā arī projektu iesniegumos iespējamās atbalstāmās darbības un izmaksas.  Līdz ar to, </w:t>
            </w:r>
            <w:r w:rsidRPr="00B561BB">
              <w:rPr>
                <w:rFonts w:ascii="Aptos" w:hAnsi="Aptos"/>
                <w:i/>
                <w:iCs/>
                <w:color w:val="000000"/>
                <w:sz w:val="24"/>
                <w:szCs w:val="24"/>
              </w:rPr>
              <w:t>lai pretendētu uz ES fondu atbalsta finansējumu pēc projektu iesniegumu atlases izsludināšanas būs nepieciešams sagatavot projektu iesniegumu un iesniegt CFLA, izmantojot Projektu portālu (KPVIS).</w:t>
            </w:r>
          </w:p>
          <w:p w14:paraId="5E5C8117"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i/>
                <w:iCs/>
                <w:color w:val="000000"/>
                <w:sz w:val="24"/>
                <w:szCs w:val="24"/>
              </w:rPr>
              <w:t> </w:t>
            </w:r>
            <w:r w:rsidRPr="00B561BB">
              <w:rPr>
                <w:rFonts w:ascii="Aptos" w:hAnsi="Aptos"/>
                <w:color w:val="000000"/>
                <w:sz w:val="24"/>
                <w:szCs w:val="24"/>
              </w:rPr>
              <w:t>Vienai ģimenes ārsta praksei pieejamā projekta maksimālā summa ir 30 000 </w:t>
            </w:r>
            <w:r w:rsidRPr="00B561BB">
              <w:rPr>
                <w:rFonts w:ascii="Aptos" w:hAnsi="Aptos"/>
                <w:i/>
                <w:iCs/>
                <w:color w:val="000000"/>
                <w:sz w:val="24"/>
                <w:szCs w:val="24"/>
              </w:rPr>
              <w:t>euro</w:t>
            </w:r>
            <w:r w:rsidRPr="00B561BB">
              <w:rPr>
                <w:rFonts w:ascii="Aptos" w:hAnsi="Aptos"/>
                <w:color w:val="000000"/>
                <w:sz w:val="24"/>
                <w:szCs w:val="24"/>
              </w:rPr>
              <w:t> uz praksi, nodrošinot iespēju uzlabot gan telpas, gan darba apstākļus medicīnas darbiniekiem. Atbalsts paredzēts:</w:t>
            </w:r>
          </w:p>
          <w:p w14:paraId="1DD12D18" w14:textId="77777777" w:rsidR="00B561BB" w:rsidRPr="00B561BB" w:rsidRDefault="00B561BB" w:rsidP="00B561BB">
            <w:pPr>
              <w:numPr>
                <w:ilvl w:val="0"/>
                <w:numId w:val="3"/>
              </w:numPr>
              <w:shd w:val="clear" w:color="auto" w:fill="FFFFFF"/>
              <w:spacing w:before="100" w:beforeAutospacing="1" w:after="100" w:afterAutospacing="1"/>
              <w:ind w:firstLine="0"/>
              <w:textAlignment w:val="baseline"/>
              <w:rPr>
                <w:rFonts w:ascii="Aptos" w:hAnsi="Aptos" w:cs="Segoe UI"/>
                <w:color w:val="000000"/>
                <w:sz w:val="24"/>
                <w:szCs w:val="24"/>
              </w:rPr>
            </w:pPr>
            <w:r w:rsidRPr="00B561BB">
              <w:rPr>
                <w:rFonts w:ascii="Aptos" w:hAnsi="Aptos" w:cs="Segoe UI"/>
                <w:color w:val="000000"/>
                <w:sz w:val="24"/>
                <w:szCs w:val="24"/>
              </w:rPr>
              <w:t>Jaunatvērtajām ģimenes ārsta praksēm:</w:t>
            </w:r>
          </w:p>
          <w:p w14:paraId="7CBBAE1C"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color w:val="000000"/>
                <w:sz w:val="24"/>
                <w:szCs w:val="24"/>
              </w:rPr>
              <w:lastRenderedPageBreak/>
              <w:t>1.1. Ir atbalstāma gan remontdarbu veikšana, gan medicīnisko iekārtu iegāde.</w:t>
            </w:r>
          </w:p>
          <w:p w14:paraId="47135172"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color w:val="000000"/>
                <w:sz w:val="24"/>
                <w:szCs w:val="24"/>
              </w:rPr>
              <w:t>1.2. Par jaunatvērtu praksi tiek uzskatīta tāda prakse:</w:t>
            </w:r>
          </w:p>
          <w:p w14:paraId="4B286432" w14:textId="0CBE49A3"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kura īsteno savu darbību ne ilgāk kā trīs gadus no reģistrācijas brīža ārstniecības iestāžu reģistrā;</w:t>
            </w:r>
          </w:p>
          <w:p w14:paraId="6798AD93" w14:textId="5A050FA8"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vai kurai pacientu reģistrācija ir veikta ne senāk kā trīs gadus no projekta iesnieguma iesniegšanas brīža.</w:t>
            </w:r>
          </w:p>
          <w:p w14:paraId="6747D151"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color w:val="000000"/>
                <w:sz w:val="24"/>
                <w:szCs w:val="24"/>
              </w:rPr>
              <w:t>1.3. Par jaunatvērtas prakses attīstību projektu var iesniegt:</w:t>
            </w:r>
          </w:p>
          <w:p w14:paraId="4936065D" w14:textId="761D9075"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rezidents, kurš apgūst ģimenes (vispārējās prakses) ārsta specialitāti;</w:t>
            </w:r>
          </w:p>
          <w:p w14:paraId="389EF3E1" w14:textId="1AF2E952"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sertificēts ģimenes ārsts, kurš uz projekta iesniegšanas brīdi nesniedz valsts apmaksātos ģimenes ārsta pakalpojumus vai kuram nav reģistrēto pacientu;</w:t>
            </w:r>
          </w:p>
          <w:p w14:paraId="44FECD43" w14:textId="64CC2D90"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ārstniecība iestāde, kas sniedz valsts apmaksātos ģimenes ārsta pakalpojumus;</w:t>
            </w:r>
          </w:p>
          <w:p w14:paraId="7E156AF6" w14:textId="7403F575"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 xml:space="preserve">ārstniecības iestāde, pašvaldība vai pašvaldības iestāde, kas nodrošina telpas vai telpas un aprīkojumu valsts apmaksāto </w:t>
            </w:r>
            <w:r w:rsidRPr="00B561BB">
              <w:rPr>
                <w:rFonts w:ascii="Aptos" w:hAnsi="Aptos"/>
                <w:color w:val="000000"/>
                <w:sz w:val="24"/>
                <w:szCs w:val="24"/>
              </w:rPr>
              <w:lastRenderedPageBreak/>
              <w:t>ģimenes ārsta pakalpojumu sniegšanai.</w:t>
            </w:r>
          </w:p>
          <w:p w14:paraId="16B56797"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color w:val="000000"/>
                <w:sz w:val="24"/>
                <w:szCs w:val="24"/>
              </w:rPr>
              <w:t> Informācija par brīvajām ģimenes ārstu prakšu vietām ir pieejama Nacionālā veselības dienesta tīmekļvietnes sadaļā </w:t>
            </w:r>
            <w:hyperlink r:id="rId9" w:tgtFrame="_blank" w:tooltip="https://www.vmnvd.gov.lv/lv/brivas-prakses-vietas" w:history="1">
              <w:r w:rsidRPr="00B561BB">
                <w:rPr>
                  <w:rFonts w:ascii="Aptos" w:hAnsi="Aptos"/>
                  <w:color w:val="0000FF"/>
                  <w:sz w:val="24"/>
                  <w:szCs w:val="24"/>
                  <w:u w:val="single"/>
                  <w:bdr w:val="none" w:sz="0" w:space="0" w:color="auto" w:frame="1"/>
                </w:rPr>
                <w:t>"Primārā veselības aprūpe"</w:t>
              </w:r>
            </w:hyperlink>
            <w:r w:rsidRPr="00B561BB">
              <w:rPr>
                <w:rFonts w:ascii="Aptos" w:hAnsi="Aptos"/>
                <w:color w:val="000000"/>
                <w:sz w:val="24"/>
                <w:szCs w:val="24"/>
              </w:rPr>
              <w:t>.</w:t>
            </w:r>
          </w:p>
          <w:p w14:paraId="4853C806" w14:textId="77777777" w:rsidR="00B561BB" w:rsidRPr="00B561BB" w:rsidRDefault="00B561BB" w:rsidP="00B561BB">
            <w:pPr>
              <w:numPr>
                <w:ilvl w:val="0"/>
                <w:numId w:val="4"/>
              </w:numPr>
              <w:shd w:val="clear" w:color="auto" w:fill="FFFFFF"/>
              <w:spacing w:before="100" w:beforeAutospacing="1" w:after="100" w:afterAutospacing="1"/>
              <w:textAlignment w:val="baseline"/>
              <w:rPr>
                <w:rFonts w:ascii="Aptos" w:hAnsi="Aptos" w:cs="Segoe UI"/>
                <w:color w:val="000000"/>
                <w:sz w:val="24"/>
                <w:szCs w:val="24"/>
              </w:rPr>
            </w:pPr>
            <w:r w:rsidRPr="00B561BB">
              <w:rPr>
                <w:rFonts w:ascii="Aptos" w:hAnsi="Aptos" w:cs="Segoe UI"/>
                <w:color w:val="000000"/>
                <w:sz w:val="24"/>
                <w:szCs w:val="24"/>
              </w:rPr>
              <w:t>Papildus pieejams finansējums arī jau reģistrētām praksēm, kuras Ārstniecības iestāžu reģistrā ir reģistrētas ilgāk par trīs gadiem:</w:t>
            </w:r>
          </w:p>
          <w:p w14:paraId="512D628C"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color w:val="000000"/>
                <w:sz w:val="24"/>
                <w:szCs w:val="24"/>
              </w:rPr>
              <w:t>2.1. Ir atbalstāma tikai remontdarbu veikšana (t.sk. koplietošanas telpu atjaunošanai, piemēram gaiteņa, uzgaidāmās telpas vai kāpņu telpas atjaunošanai), jo prakses aprīkojuma izmaksas, t.sk. medicīnas iekārtu izmaksas, ir iekļautas valsts budžeta maksājumos par pakalpojumu sniegšanu un attiecīgi tās nedrīkst no publiskas naudas finansēt dubultā.</w:t>
            </w:r>
          </w:p>
          <w:p w14:paraId="552A82EE"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color w:val="000000"/>
                <w:sz w:val="24"/>
                <w:szCs w:val="24"/>
              </w:rPr>
              <w:t>2.2. Par esošo praksi ir uzskatāma tāda prakse, kas īsteno savu darbību ilgāk par trīs gadiem no reģistrācijas brīža ārstniecības iestāžu reģistrā.</w:t>
            </w:r>
          </w:p>
          <w:p w14:paraId="5AEDB7C8"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color w:val="000000"/>
                <w:sz w:val="24"/>
                <w:szCs w:val="24"/>
              </w:rPr>
              <w:t>2.3. Uz atbalstu var pretendēt, ja plānota kāda no šādām darbībām:</w:t>
            </w:r>
          </w:p>
          <w:p w14:paraId="6CB04CE5" w14:textId="40027B3E"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 xml:space="preserve">paplašināt ģimenes ārsta praksi, </w:t>
            </w:r>
            <w:r w:rsidRPr="00B561BB">
              <w:rPr>
                <w:rFonts w:ascii="Aptos" w:hAnsi="Aptos"/>
                <w:color w:val="000000"/>
                <w:sz w:val="24"/>
                <w:szCs w:val="24"/>
              </w:rPr>
              <w:lastRenderedPageBreak/>
              <w:t>piesaistot papildus māsu un / vai ārsta palīgu praksē vai papildu darbinieku (aprūpes koordinatoru) administratīvo funkciju veikšanai;</w:t>
            </w:r>
          </w:p>
          <w:p w14:paraId="4282D3D8" w14:textId="778D6A89"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mainīt ģimenes ārsta prakses atrašanās vietu tajā pašā teritoriālajā vienībā, kurā atrodas ģimenes ārsta darbības pamatteritorija;</w:t>
            </w:r>
          </w:p>
          <w:p w14:paraId="3005D99D" w14:textId="0D27DE92"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pielāgot telpas pēc lielo prakšu sadalīšanas;</w:t>
            </w:r>
          </w:p>
          <w:p w14:paraId="6B7A3533" w14:textId="48F3C2FA"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vides piekļūstamības nodrošināšanai personām ar funkcionāliem traucējumiem atbilstoši MK 20.01.2009. noteikumos Nr. 60 “Noteikumi par obligātajām prasībām ārstniecības iestādēm un to struktūrvienībām” noteiktajām prasībām.</w:t>
            </w:r>
          </w:p>
          <w:p w14:paraId="4A57C536" w14:textId="77777777" w:rsidR="00B561BB" w:rsidRPr="00B561BB" w:rsidRDefault="00B561BB" w:rsidP="00B561BB">
            <w:pPr>
              <w:shd w:val="clear" w:color="auto" w:fill="FFFFFF"/>
              <w:textAlignment w:val="baseline"/>
              <w:rPr>
                <w:rFonts w:ascii="Aptos" w:hAnsi="Aptos"/>
                <w:color w:val="000000"/>
                <w:sz w:val="24"/>
                <w:szCs w:val="24"/>
              </w:rPr>
            </w:pPr>
            <w:r w:rsidRPr="00B561BB">
              <w:rPr>
                <w:rFonts w:ascii="Aptos" w:hAnsi="Aptos"/>
                <w:color w:val="000000"/>
                <w:sz w:val="24"/>
                <w:szCs w:val="24"/>
              </w:rPr>
              <w:t>2.4. Par esošas prakses attīstību projektu var iesniegt:</w:t>
            </w:r>
          </w:p>
          <w:p w14:paraId="243580CF" w14:textId="7BB7D483"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sertificēts ģimenes ārsts, kurš īsteno savu darbību ilgāk par trīs gadiem;</w:t>
            </w:r>
          </w:p>
          <w:p w14:paraId="339B5706" w14:textId="497CC68E"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ārstniecība iestāde, kas sniedz valsts apmaksātos ģimenes ārsta pakalpojumus;</w:t>
            </w:r>
          </w:p>
          <w:p w14:paraId="69664224" w14:textId="21B253C6" w:rsidR="00B561BB" w:rsidRPr="00B561BB" w:rsidRDefault="00B561BB" w:rsidP="00B561BB">
            <w:pPr>
              <w:pStyle w:val="ListParagraph"/>
              <w:numPr>
                <w:ilvl w:val="0"/>
                <w:numId w:val="7"/>
              </w:numPr>
              <w:shd w:val="clear" w:color="auto" w:fill="FFFFFF"/>
              <w:textAlignment w:val="baseline"/>
              <w:rPr>
                <w:rFonts w:ascii="Aptos" w:hAnsi="Aptos"/>
                <w:color w:val="000000"/>
                <w:sz w:val="24"/>
                <w:szCs w:val="24"/>
              </w:rPr>
            </w:pPr>
            <w:r w:rsidRPr="00B561BB">
              <w:rPr>
                <w:rFonts w:ascii="Aptos" w:hAnsi="Aptos"/>
                <w:color w:val="000000"/>
                <w:sz w:val="24"/>
                <w:szCs w:val="24"/>
              </w:rPr>
              <w:t xml:space="preserve">ārstniecības iestāde, pašvaldība </w:t>
            </w:r>
            <w:r w:rsidRPr="00B561BB">
              <w:rPr>
                <w:rFonts w:ascii="Aptos" w:hAnsi="Aptos"/>
                <w:color w:val="000000"/>
                <w:sz w:val="24"/>
                <w:szCs w:val="24"/>
              </w:rPr>
              <w:lastRenderedPageBreak/>
              <w:t>vai pašvaldības iestāde, kas nodrošina telpas vai telpas un aprīkojumu valsts apmaksāto ģimenes ārsta pakalpojumu sniegšanai.</w:t>
            </w:r>
          </w:p>
          <w:p w14:paraId="70C9957C" w14:textId="77777777" w:rsidR="00B561BB" w:rsidRPr="00B561BB" w:rsidRDefault="00B561BB" w:rsidP="00B561BB"/>
        </w:tc>
      </w:tr>
    </w:tbl>
    <w:p w14:paraId="2FC36D8C" w14:textId="77777777" w:rsidR="000A0DDB" w:rsidRDefault="000A0DDB"/>
    <w:tbl>
      <w:tblPr>
        <w:tblStyle w:val="a"/>
        <w:tblW w:w="14567" w:type="dxa"/>
        <w:tblLayout w:type="fixed"/>
        <w:tblLook w:val="0600" w:firstRow="0" w:lastRow="0" w:firstColumn="0" w:lastColumn="0" w:noHBand="1" w:noVBand="1"/>
      </w:tblPr>
      <w:tblGrid>
        <w:gridCol w:w="4855"/>
        <w:gridCol w:w="4856"/>
        <w:gridCol w:w="4856"/>
      </w:tblGrid>
      <w:tr w:rsidR="000A0DDB" w14:paraId="353B6006" w14:textId="77777777">
        <w:tc>
          <w:tcPr>
            <w:tcW w:w="4855" w:type="dxa"/>
            <w:shd w:val="clear" w:color="auto" w:fill="FFFFFF"/>
            <w:noWrap/>
            <w:tcMar>
              <w:top w:w="75" w:type="dxa"/>
              <w:left w:w="75" w:type="dxa"/>
              <w:bottom w:w="75" w:type="dxa"/>
              <w:right w:w="75" w:type="dxa"/>
            </w:tcMar>
            <w:vAlign w:val="center"/>
          </w:tcPr>
          <w:p w14:paraId="774E5EEF" w14:textId="77777777" w:rsidR="000A0DDB"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149CF72E" w14:textId="77777777" w:rsidR="000A0DDB" w:rsidRDefault="000A0DD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4C35907" w14:textId="77777777" w:rsidR="000A0DDB" w:rsidRDefault="000A0DDB"/>
        </w:tc>
      </w:tr>
      <w:tr w:rsidR="000A0DDB" w14:paraId="610F9B25" w14:textId="77777777">
        <w:tc>
          <w:tcPr>
            <w:tcW w:w="4855" w:type="dxa"/>
            <w:shd w:val="clear" w:color="auto" w:fill="FFFFFF"/>
            <w:noWrap/>
            <w:tcMar>
              <w:top w:w="75" w:type="dxa"/>
              <w:left w:w="75" w:type="dxa"/>
              <w:bottom w:w="75" w:type="dxa"/>
              <w:right w:w="75" w:type="dxa"/>
            </w:tcMar>
            <w:vAlign w:val="center"/>
          </w:tcPr>
          <w:p w14:paraId="41DF9109" w14:textId="77777777" w:rsidR="000A0DDB" w:rsidRDefault="000A0DDB"/>
        </w:tc>
        <w:tc>
          <w:tcPr>
            <w:tcW w:w="4856" w:type="dxa"/>
            <w:shd w:val="clear" w:color="auto" w:fill="FFFFFF"/>
            <w:noWrap/>
            <w:tcMar>
              <w:top w:w="75" w:type="dxa"/>
              <w:left w:w="75" w:type="dxa"/>
              <w:bottom w:w="75" w:type="dxa"/>
              <w:right w:w="75" w:type="dxa"/>
            </w:tcMar>
            <w:vAlign w:val="center"/>
          </w:tcPr>
          <w:p w14:paraId="38CBCB5B" w14:textId="77777777" w:rsidR="000A0DDB" w:rsidRDefault="00000000">
            <w:pPr>
              <w:jc w:val="center"/>
            </w:pPr>
            <w:r>
              <w:t>(dd.mm.gggg)</w:t>
            </w:r>
          </w:p>
        </w:tc>
        <w:tc>
          <w:tcPr>
            <w:tcW w:w="4856" w:type="dxa"/>
            <w:shd w:val="clear" w:color="auto" w:fill="FFFFFF"/>
            <w:noWrap/>
            <w:tcMar>
              <w:top w:w="75" w:type="dxa"/>
              <w:left w:w="75" w:type="dxa"/>
              <w:bottom w:w="75" w:type="dxa"/>
              <w:right w:w="75" w:type="dxa"/>
            </w:tcMar>
            <w:vAlign w:val="center"/>
          </w:tcPr>
          <w:p w14:paraId="7D4527AA" w14:textId="77777777" w:rsidR="000A0DDB" w:rsidRDefault="000A0DDB"/>
        </w:tc>
      </w:tr>
      <w:tr w:rsidR="000A0DDB" w14:paraId="6EEAC031" w14:textId="77777777">
        <w:tc>
          <w:tcPr>
            <w:tcW w:w="4855" w:type="dxa"/>
            <w:shd w:val="clear" w:color="auto" w:fill="FFFFFF"/>
            <w:noWrap/>
            <w:tcMar>
              <w:top w:w="75" w:type="dxa"/>
              <w:left w:w="75" w:type="dxa"/>
              <w:bottom w:w="75" w:type="dxa"/>
              <w:right w:w="75" w:type="dxa"/>
            </w:tcMar>
            <w:vAlign w:val="center"/>
          </w:tcPr>
          <w:p w14:paraId="2EBFB3FB" w14:textId="77777777" w:rsidR="000A0DDB"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0B688059" w14:textId="77777777" w:rsidR="000A0DDB" w:rsidRDefault="000A0DD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31099D8" w14:textId="77777777" w:rsidR="000A0DDB" w:rsidRDefault="000A0DDB"/>
        </w:tc>
      </w:tr>
      <w:tr w:rsidR="000A0DDB" w14:paraId="4653E583" w14:textId="77777777">
        <w:tc>
          <w:tcPr>
            <w:tcW w:w="4855" w:type="dxa"/>
            <w:shd w:val="clear" w:color="auto" w:fill="FFFFFF"/>
            <w:noWrap/>
            <w:tcMar>
              <w:top w:w="75" w:type="dxa"/>
              <w:left w:w="75" w:type="dxa"/>
              <w:bottom w:w="75" w:type="dxa"/>
              <w:right w:w="75" w:type="dxa"/>
            </w:tcMar>
            <w:vAlign w:val="center"/>
          </w:tcPr>
          <w:p w14:paraId="3EDC1801" w14:textId="77777777" w:rsidR="000A0DDB" w:rsidRDefault="000A0DDB"/>
        </w:tc>
        <w:tc>
          <w:tcPr>
            <w:tcW w:w="4856" w:type="dxa"/>
            <w:shd w:val="clear" w:color="auto" w:fill="FFFFFF"/>
            <w:noWrap/>
            <w:tcMar>
              <w:top w:w="75" w:type="dxa"/>
              <w:left w:w="75" w:type="dxa"/>
              <w:bottom w:w="75" w:type="dxa"/>
              <w:right w:w="75" w:type="dxa"/>
            </w:tcMar>
            <w:vAlign w:val="center"/>
          </w:tcPr>
          <w:p w14:paraId="1C91B01D" w14:textId="77777777" w:rsidR="000A0DDB"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1C1E0288" w14:textId="77777777" w:rsidR="000A0DDB" w:rsidRDefault="000A0DDB"/>
        </w:tc>
      </w:tr>
    </w:tbl>
    <w:p w14:paraId="1B989EB8" w14:textId="77777777" w:rsidR="000A0DDB" w:rsidRDefault="000A0DDB"/>
    <w:p w14:paraId="490DC14D" w14:textId="77777777" w:rsidR="000A0DDB" w:rsidRDefault="00000000">
      <w:r>
        <w:t>Piezīmes.</w:t>
      </w:r>
    </w:p>
    <w:p w14:paraId="2FBD7340" w14:textId="77777777" w:rsidR="000A0DDB" w:rsidRDefault="00000000">
      <w:r>
        <w:t>* Iesniedzējs (fiziskai personai – vārds, uzvārds, juridiskai personai – nosaukums) var tikt publiskots, ja viņš tam ir piekritis. Ja attiecināms, iesniedzējs norāda interešu pārstāvja reģistrācijas numuru.</w:t>
      </w:r>
    </w:p>
    <w:p w14:paraId="11FB34A5" w14:textId="77777777" w:rsidR="000A0DDB" w:rsidRDefault="00000000">
      <w:r>
        <w:t>** Dokumenta rekvizītus "datums" un "paraksts" neaizpilda, ja elektroniskais dokuments ir sagatavots atbilstoši normatīvajiem aktiem par elektronisko dokumentu noformēšanu.</w:t>
      </w:r>
    </w:p>
    <w:sectPr w:rsidR="000A0DDB">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D3806" w14:textId="77777777" w:rsidR="00B73447" w:rsidRDefault="00B73447">
      <w:r>
        <w:separator/>
      </w:r>
    </w:p>
  </w:endnote>
  <w:endnote w:type="continuationSeparator" w:id="0">
    <w:p w14:paraId="2A1A0612" w14:textId="77777777" w:rsidR="00B73447" w:rsidRDefault="00B7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1869" w14:textId="758A079C" w:rsidR="000A0DDB" w:rsidRDefault="00000000">
    <w:pPr>
      <w:jc w:val="right"/>
    </w:pPr>
    <w:r>
      <w:rPr>
        <w:sz w:val="24"/>
        <w:szCs w:val="24"/>
      </w:rPr>
      <w:fldChar w:fldCharType="begin"/>
    </w:r>
    <w:r>
      <w:rPr>
        <w:sz w:val="24"/>
        <w:szCs w:val="24"/>
      </w:rPr>
      <w:instrText>PAGE</w:instrText>
    </w:r>
    <w:r>
      <w:rPr>
        <w:sz w:val="24"/>
        <w:szCs w:val="24"/>
      </w:rPr>
      <w:fldChar w:fldCharType="separate"/>
    </w:r>
    <w:r w:rsidR="00B561BB">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6F412" w14:textId="77777777" w:rsidR="00CE4F06"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EB02D" w14:textId="77777777" w:rsidR="00B73447" w:rsidRDefault="00B73447">
      <w:r>
        <w:separator/>
      </w:r>
    </w:p>
  </w:footnote>
  <w:footnote w:type="continuationSeparator" w:id="0">
    <w:p w14:paraId="72117479" w14:textId="77777777" w:rsidR="00B73447" w:rsidRDefault="00B73447">
      <w:r>
        <w:continuationSeparator/>
      </w:r>
    </w:p>
  </w:footnote>
  <w:footnote w:id="1">
    <w:p w14:paraId="2701D703" w14:textId="5E148D51" w:rsidR="00B561BB" w:rsidRDefault="00B561BB">
      <w:pPr>
        <w:pStyle w:val="FootnoteText"/>
      </w:pPr>
      <w:r>
        <w:rPr>
          <w:rStyle w:val="FootnoteReference"/>
        </w:rPr>
        <w:footnoteRef/>
      </w:r>
      <w:r>
        <w:t xml:space="preserve"> </w:t>
      </w:r>
      <w:hyperlink r:id="rId1" w:tgtFrame="_blank" w:tooltip="https://www.vestnesis.lv/op/2025/6.7" w:history="1">
        <w:r w:rsidRPr="00B561BB">
          <w:rPr>
            <w:rStyle w:val="Hyperlink"/>
          </w:rPr>
          <w:t>Ministru kabineta 2025. gada 7. janvāra noteikumi Nr. 23 </w:t>
        </w:r>
      </w:hyperlink>
      <w:hyperlink r:id="rId2" w:tgtFrame="_blank" w:tooltip="https://www.vestnesis.lv/op/2025/6.7" w:history="1">
        <w:r w:rsidRPr="00B561BB">
          <w:rPr>
            <w:rStyle w:val="Hyperlink"/>
          </w:rPr>
          <w:t>“Eiropas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hyperlink>
      <w:r w:rsidRPr="00B561BB">
        <w:t>, </w:t>
      </w:r>
      <w:hyperlink r:id="rId3" w:tgtFrame="_blank" w:tooltip="https://likumi.lv/ta/id/357878-eiropas-savienibas-kohezijas-politikas-programmas-2021-2027-gadam-4-1-1-specifiska-atbalsta-merka-nodrosinat-vienlidzigu" w:history="1">
        <w:r w:rsidRPr="00B561BB">
          <w:rPr>
            <w:rStyle w:val="Hyperlink"/>
          </w:rPr>
          <w:t>https://likumi.lv/ta/id/357878-eiropas-savienibas-kohezijas-politikas-programmas-2021-2027-gadam-4-1-1-specifiska-atbalsta-merka-nodrosinat-vienlidzigu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CFE9" w14:textId="77777777" w:rsidR="000A0DDB" w:rsidRDefault="00000000">
    <w:pPr>
      <w:pStyle w:val="Header"/>
      <w:contextualSpacing w:val="0"/>
    </w:pPr>
    <w:r>
      <w:t>Viedokļu pārskats 26-TA-42</w:t>
    </w:r>
    <w:r>
      <w:br/>
      <w:t>Izdrukāts 18.03.2026. 10.24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7F9F" w14:textId="77777777" w:rsidR="000A0DDB" w:rsidRDefault="00000000">
    <w:pPr>
      <w:pStyle w:val="Header"/>
      <w:contextualSpacing w:val="0"/>
    </w:pPr>
    <w:r>
      <w:t>Viedokļu pārskats 26-TA-42</w:t>
    </w:r>
    <w:r>
      <w:br/>
      <w:t>Izdrukāts 18.03.2026. 10.24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DD6"/>
    <w:multiLevelType w:val="multilevel"/>
    <w:tmpl w:val="67A6E01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DF36894"/>
    <w:multiLevelType w:val="multilevel"/>
    <w:tmpl w:val="A60A4850"/>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 w15:restartNumberingAfterBreak="0">
    <w:nsid w:val="13B07B6D"/>
    <w:multiLevelType w:val="hybridMultilevel"/>
    <w:tmpl w:val="D4B25F3E"/>
    <w:lvl w:ilvl="0" w:tplc="0DB669CC">
      <w:numFmt w:val="bullet"/>
      <w:lvlText w:val="·"/>
      <w:lvlJc w:val="left"/>
      <w:pPr>
        <w:ind w:left="-280" w:hanging="440"/>
      </w:pPr>
      <w:rPr>
        <w:rFonts w:ascii="Aptos" w:eastAsia="Times New Roman" w:hAnsi="Aptos"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72E7EAC"/>
    <w:multiLevelType w:val="multilevel"/>
    <w:tmpl w:val="B3484C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C1FBB"/>
    <w:multiLevelType w:val="hybridMultilevel"/>
    <w:tmpl w:val="13DC3652"/>
    <w:lvl w:ilvl="0" w:tplc="0DB669CC">
      <w:numFmt w:val="bullet"/>
      <w:lvlText w:val="·"/>
      <w:lvlJc w:val="left"/>
      <w:pPr>
        <w:ind w:left="440" w:hanging="440"/>
      </w:pPr>
      <w:rPr>
        <w:rFonts w:ascii="Aptos" w:eastAsia="Times New Roman" w:hAnsi="Aptos"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96D6EE0"/>
    <w:multiLevelType w:val="hybridMultilevel"/>
    <w:tmpl w:val="ABB6E3CC"/>
    <w:lvl w:ilvl="0" w:tplc="0DB669CC">
      <w:numFmt w:val="bullet"/>
      <w:lvlText w:val="·"/>
      <w:lvlJc w:val="left"/>
      <w:pPr>
        <w:ind w:left="-204" w:hanging="440"/>
      </w:pPr>
      <w:rPr>
        <w:rFonts w:ascii="Aptos" w:eastAsia="Times New Roman" w:hAnsi="Aptos" w:cs="Times New Roman"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6" w15:restartNumberingAfterBreak="0">
    <w:nsid w:val="46921CC8"/>
    <w:multiLevelType w:val="hybridMultilevel"/>
    <w:tmpl w:val="D87222EE"/>
    <w:lvl w:ilvl="0" w:tplc="0DB669CC">
      <w:numFmt w:val="bullet"/>
      <w:lvlText w:val="·"/>
      <w:lvlJc w:val="left"/>
      <w:pPr>
        <w:ind w:left="-280" w:hanging="440"/>
      </w:pPr>
      <w:rPr>
        <w:rFonts w:ascii="Aptos" w:eastAsia="Times New Roman" w:hAnsi="Aptos"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5AF23A4C"/>
    <w:multiLevelType w:val="hybridMultilevel"/>
    <w:tmpl w:val="4476B206"/>
    <w:lvl w:ilvl="0" w:tplc="0DB669CC">
      <w:numFmt w:val="bullet"/>
      <w:lvlText w:val="·"/>
      <w:lvlJc w:val="left"/>
      <w:pPr>
        <w:ind w:left="80" w:hanging="440"/>
      </w:pPr>
      <w:rPr>
        <w:rFonts w:ascii="Aptos" w:eastAsia="Times New Roman" w:hAnsi="Aptos" w:cs="Times New Roman"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8" w15:restartNumberingAfterBreak="0">
    <w:nsid w:val="632B404A"/>
    <w:multiLevelType w:val="hybridMultilevel"/>
    <w:tmpl w:val="45A66D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76660BB1"/>
    <w:multiLevelType w:val="multilevel"/>
    <w:tmpl w:val="7C2C0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130882">
    <w:abstractNumId w:val="9"/>
  </w:num>
  <w:num w:numId="2" w16cid:durableId="1763531708">
    <w:abstractNumId w:val="3"/>
  </w:num>
  <w:num w:numId="3" w16cid:durableId="1183978339">
    <w:abstractNumId w:val="1"/>
  </w:num>
  <w:num w:numId="4" w16cid:durableId="5984824">
    <w:abstractNumId w:val="0"/>
  </w:num>
  <w:num w:numId="5" w16cid:durableId="1772622661">
    <w:abstractNumId w:val="8"/>
  </w:num>
  <w:num w:numId="6" w16cid:durableId="1830361903">
    <w:abstractNumId w:val="7"/>
  </w:num>
  <w:num w:numId="7" w16cid:durableId="140394707">
    <w:abstractNumId w:val="4"/>
  </w:num>
  <w:num w:numId="8" w16cid:durableId="1707439031">
    <w:abstractNumId w:val="2"/>
  </w:num>
  <w:num w:numId="9" w16cid:durableId="872689902">
    <w:abstractNumId w:val="6"/>
  </w:num>
  <w:num w:numId="10" w16cid:durableId="10744741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DDB"/>
    <w:rsid w:val="000A0DDB"/>
    <w:rsid w:val="004117E3"/>
    <w:rsid w:val="006E4F97"/>
    <w:rsid w:val="00B561BB"/>
    <w:rsid w:val="00B73447"/>
    <w:rsid w:val="00C81B3A"/>
    <w:rsid w:val="00CE4F06"/>
    <w:rsid w:val="00F942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FAADB"/>
  <w15:docId w15:val="{C9DA77C4-4541-455E-A6D5-AE49DF8D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B561BB"/>
    <w:rPr>
      <w:color w:val="467886" w:themeColor="hyperlink"/>
      <w:u w:val="single"/>
    </w:rPr>
  </w:style>
  <w:style w:type="character" w:styleId="UnresolvedMention">
    <w:name w:val="Unresolved Mention"/>
    <w:basedOn w:val="DefaultParagraphFont"/>
    <w:uiPriority w:val="99"/>
    <w:semiHidden/>
    <w:unhideWhenUsed/>
    <w:rsid w:val="00B561BB"/>
    <w:rPr>
      <w:color w:val="605E5C"/>
      <w:shd w:val="clear" w:color="auto" w:fill="E1DFDD"/>
    </w:rPr>
  </w:style>
  <w:style w:type="paragraph" w:styleId="FootnoteText">
    <w:name w:val="footnote text"/>
    <w:basedOn w:val="Normal"/>
    <w:link w:val="FootnoteTextChar"/>
    <w:uiPriority w:val="99"/>
    <w:semiHidden/>
    <w:unhideWhenUsed/>
    <w:rsid w:val="00B561BB"/>
    <w:rPr>
      <w:sz w:val="20"/>
    </w:rPr>
  </w:style>
  <w:style w:type="character" w:customStyle="1" w:styleId="FootnoteTextChar">
    <w:name w:val="Footnote Text Char"/>
    <w:basedOn w:val="DefaultParagraphFont"/>
    <w:link w:val="FootnoteText"/>
    <w:uiPriority w:val="99"/>
    <w:semiHidden/>
    <w:rsid w:val="00B561BB"/>
    <w:rPr>
      <w:sz w:val="20"/>
    </w:rPr>
  </w:style>
  <w:style w:type="character" w:styleId="FootnoteReference">
    <w:name w:val="footnote reference"/>
    <w:basedOn w:val="DefaultParagraphFont"/>
    <w:uiPriority w:val="99"/>
    <w:semiHidden/>
    <w:unhideWhenUsed/>
    <w:rsid w:val="00B561BB"/>
    <w:rPr>
      <w:vertAlign w:val="superscript"/>
    </w:rPr>
  </w:style>
  <w:style w:type="paragraph" w:styleId="ListParagraph">
    <w:name w:val="List Paragraph"/>
    <w:basedOn w:val="Normal"/>
    <w:uiPriority w:val="34"/>
    <w:qFormat/>
    <w:rsid w:val="00B56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fla.gov.lv/lv/2021-2027-programma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mnvd.gov.lv/lv/brivas-prakses-vieta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57878-eiropas-savienibas-kohezijas-politikas-programmas-2021-2027-gadam-4-1-1-specifiska-atbalsta-merka-nodrosinat-vienlidzigu" TargetMode="External"/><Relationship Id="rId2" Type="http://schemas.openxmlformats.org/officeDocument/2006/relationships/hyperlink" Target="https://www.vestnesis.lv/op/2025/6.7" TargetMode="External"/><Relationship Id="rId1" Type="http://schemas.openxmlformats.org/officeDocument/2006/relationships/hyperlink" Target="https://www.vestnesis.lv/op/2025/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4BCC0-06C8-492D-8050-42EB5F8DC7F6}">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1630</Words>
  <Characters>9293</Characters>
  <Application>Microsoft Office Word</Application>
  <DocSecurity>0</DocSecurity>
  <Lines>77</Lines>
  <Paragraphs>21</Paragraphs>
  <ScaleCrop>false</ScaleCrop>
  <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viedoklu_parskats_26-TA-42.docx</dc:title>
  <dc:creator>Lolita Meļķe-Prižavoite</dc:creator>
  <cp:lastModifiedBy>Lolita Meļķe-Prižavoite</cp:lastModifiedBy>
  <cp:revision>2</cp:revision>
  <dcterms:created xsi:type="dcterms:W3CDTF">2026-05-14T19:24:00Z</dcterms:created>
  <dcterms:modified xsi:type="dcterms:W3CDTF">2026-05-14T19:24:00Z</dcterms:modified>
</cp:coreProperties>
</file>