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D509E3E" w14:textId="5652AC6B" w:rsidR="004E042B" w:rsidRDefault="008613F6">
      <w:pPr>
        <w:spacing w:after="240"/>
        <w:jc w:val="center"/>
        <w:rPr>
          <w:b/>
        </w:rPr>
      </w:pPr>
      <w:r>
        <w:rPr>
          <w:b/>
        </w:rPr>
        <w:t xml:space="preserve">“Publiskās apspriešanas laikā </w:t>
      </w:r>
      <w:r w:rsidR="00477E84" w:rsidRPr="00477E84">
        <w:rPr>
          <w:b/>
          <w:bCs/>
        </w:rPr>
        <w:t>29.04.2026.–13.05.2026.</w:t>
      </w:r>
      <w:r w:rsidR="00477E84">
        <w:rPr>
          <w:b/>
          <w:bCs/>
        </w:rPr>
        <w:t xml:space="preserve"> </w:t>
      </w:r>
      <w:r>
        <w:rPr>
          <w:b/>
        </w:rPr>
        <w:t xml:space="preserve">saņemto viedokļu, priekšlikumu un iebildumu apkopojums par </w:t>
      </w:r>
      <w:r w:rsidR="00477E84">
        <w:rPr>
          <w:b/>
        </w:rPr>
        <w:t>g</w:t>
      </w:r>
      <w:r>
        <w:rPr>
          <w:b/>
        </w:rPr>
        <w:t>rozījumi</w:t>
      </w:r>
      <w:r w:rsidR="00477E84">
        <w:rPr>
          <w:b/>
        </w:rPr>
        <w:t>em</w:t>
      </w:r>
      <w:r>
        <w:rPr>
          <w:b/>
        </w:rPr>
        <w:t xml:space="preserve"> Sabiedriskā labuma organizāciju likumā”</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3213"/>
        <w:gridCol w:w="4111"/>
        <w:gridCol w:w="2410"/>
        <w:gridCol w:w="4083"/>
      </w:tblGrid>
      <w:tr w:rsidR="004E042B" w14:paraId="3BF8E51D" w14:textId="77777777" w:rsidTr="00887B9D">
        <w:tc>
          <w:tcPr>
            <w:tcW w:w="750" w:type="dxa"/>
            <w:shd w:val="clear" w:color="auto" w:fill="FFFFFF"/>
            <w:noWrap/>
            <w:tcMar>
              <w:top w:w="75" w:type="dxa"/>
              <w:left w:w="75" w:type="dxa"/>
              <w:bottom w:w="75" w:type="dxa"/>
              <w:right w:w="75" w:type="dxa"/>
            </w:tcMar>
            <w:vAlign w:val="center"/>
          </w:tcPr>
          <w:p w14:paraId="08D37889" w14:textId="77777777" w:rsidR="004E042B" w:rsidRDefault="008613F6" w:rsidP="00887B9D">
            <w:pPr>
              <w:jc w:val="center"/>
            </w:pPr>
            <w:r>
              <w:rPr>
                <w:b/>
              </w:rPr>
              <w:t>Nr.p.k.</w:t>
            </w:r>
          </w:p>
        </w:tc>
        <w:tc>
          <w:tcPr>
            <w:tcW w:w="3213" w:type="dxa"/>
            <w:shd w:val="clear" w:color="auto" w:fill="FFFFFF"/>
            <w:noWrap/>
            <w:tcMar>
              <w:top w:w="75" w:type="dxa"/>
              <w:left w:w="75" w:type="dxa"/>
              <w:bottom w:w="75" w:type="dxa"/>
              <w:right w:w="75" w:type="dxa"/>
            </w:tcMar>
            <w:vAlign w:val="center"/>
          </w:tcPr>
          <w:p w14:paraId="33C3C23D" w14:textId="77777777" w:rsidR="004E042B" w:rsidRDefault="008613F6" w:rsidP="00887B9D">
            <w:pPr>
              <w:jc w:val="center"/>
            </w:pPr>
            <w:r>
              <w:rPr>
                <w:b/>
              </w:rPr>
              <w:t>Viedokļa / priekšlikuma / iebilduma iesniedzējs*</w:t>
            </w:r>
          </w:p>
        </w:tc>
        <w:tc>
          <w:tcPr>
            <w:tcW w:w="4111" w:type="dxa"/>
            <w:shd w:val="clear" w:color="auto" w:fill="FFFFFF"/>
            <w:noWrap/>
            <w:tcMar>
              <w:top w:w="75" w:type="dxa"/>
              <w:left w:w="75" w:type="dxa"/>
              <w:bottom w:w="75" w:type="dxa"/>
              <w:right w:w="75" w:type="dxa"/>
            </w:tcMar>
            <w:vAlign w:val="center"/>
          </w:tcPr>
          <w:p w14:paraId="77FF66EA" w14:textId="77777777" w:rsidR="004E042B" w:rsidRDefault="008613F6" w:rsidP="00887B9D">
            <w:pPr>
              <w:jc w:val="center"/>
            </w:pPr>
            <w:r>
              <w:rPr>
                <w:b/>
              </w:rPr>
              <w:t>Iesniegtā viedokļa / priekšlikuma / iebilduma būtība</w:t>
            </w:r>
          </w:p>
        </w:tc>
        <w:tc>
          <w:tcPr>
            <w:tcW w:w="2410" w:type="dxa"/>
            <w:shd w:val="clear" w:color="auto" w:fill="FFFFFF"/>
            <w:noWrap/>
            <w:tcMar>
              <w:top w:w="75" w:type="dxa"/>
              <w:left w:w="75" w:type="dxa"/>
              <w:bottom w:w="75" w:type="dxa"/>
              <w:right w:w="75" w:type="dxa"/>
            </w:tcMar>
            <w:vAlign w:val="center"/>
          </w:tcPr>
          <w:p w14:paraId="1C1C0729" w14:textId="77777777" w:rsidR="004E042B" w:rsidRDefault="008613F6" w:rsidP="00887B9D">
            <w:pPr>
              <w:jc w:val="center"/>
            </w:pPr>
            <w:r>
              <w:rPr>
                <w:b/>
              </w:rPr>
              <w:t>Ņemts vērā / ņemts vērā daļēji / nav ņemts vērā</w:t>
            </w:r>
          </w:p>
        </w:tc>
        <w:tc>
          <w:tcPr>
            <w:tcW w:w="4083" w:type="dxa"/>
            <w:shd w:val="clear" w:color="auto" w:fill="FFFFFF"/>
            <w:noWrap/>
            <w:tcMar>
              <w:top w:w="75" w:type="dxa"/>
              <w:left w:w="75" w:type="dxa"/>
              <w:bottom w:w="75" w:type="dxa"/>
              <w:right w:w="75" w:type="dxa"/>
            </w:tcMar>
            <w:vAlign w:val="center"/>
          </w:tcPr>
          <w:p w14:paraId="7A4B75F3" w14:textId="77777777" w:rsidR="004E042B" w:rsidRDefault="008613F6" w:rsidP="00887B9D">
            <w:pPr>
              <w:jc w:val="center"/>
            </w:pPr>
            <w:r>
              <w:rPr>
                <w:b/>
              </w:rPr>
              <w:t>Skaidrojums, kādā veidā viedoklis / priekšlikums / iebildums ir ņemts vērā vai ņemts vērā daļēji, vai pamatojums, ja viedoklis / priekšlikums / iebildums nav ņemts vērā</w:t>
            </w:r>
          </w:p>
        </w:tc>
      </w:tr>
      <w:tr w:rsidR="004E042B" w14:paraId="5445AFF1" w14:textId="77777777" w:rsidTr="007C6792">
        <w:tc>
          <w:tcPr>
            <w:tcW w:w="750" w:type="dxa"/>
            <w:shd w:val="clear" w:color="auto" w:fill="FFFFFF"/>
            <w:noWrap/>
            <w:tcMar>
              <w:top w:w="75" w:type="dxa"/>
              <w:left w:w="75" w:type="dxa"/>
              <w:bottom w:w="75" w:type="dxa"/>
              <w:right w:w="75" w:type="dxa"/>
            </w:tcMar>
          </w:tcPr>
          <w:p w14:paraId="567A4A7F" w14:textId="77777777" w:rsidR="004E042B" w:rsidRDefault="008613F6">
            <w:pPr>
              <w:jc w:val="center"/>
            </w:pPr>
            <w:r>
              <w:t>1.</w:t>
            </w:r>
          </w:p>
        </w:tc>
        <w:tc>
          <w:tcPr>
            <w:tcW w:w="3213" w:type="dxa"/>
            <w:shd w:val="clear" w:color="auto" w:fill="FFFFFF"/>
            <w:noWrap/>
            <w:tcMar>
              <w:top w:w="75" w:type="dxa"/>
              <w:left w:w="75" w:type="dxa"/>
              <w:bottom w:w="75" w:type="dxa"/>
              <w:right w:w="75" w:type="dxa"/>
            </w:tcMar>
          </w:tcPr>
          <w:p w14:paraId="2C88D67C" w14:textId="65D472B9" w:rsidR="004E042B" w:rsidRDefault="00457CE4">
            <w:pPr>
              <w:jc w:val="left"/>
            </w:pPr>
            <w:r>
              <w:t xml:space="preserve">Biedrība </w:t>
            </w:r>
            <w:r w:rsidR="009E0D03">
              <w:t>“</w:t>
            </w:r>
            <w:r w:rsidR="008613F6">
              <w:t>Latvijas nodokļu maksātāju tiesību asociācija</w:t>
            </w:r>
            <w:r w:rsidR="009E0D03">
              <w:t>”</w:t>
            </w:r>
          </w:p>
        </w:tc>
        <w:tc>
          <w:tcPr>
            <w:tcW w:w="4111" w:type="dxa"/>
            <w:shd w:val="clear" w:color="auto" w:fill="FFFFFF"/>
            <w:noWrap/>
            <w:tcMar>
              <w:top w:w="75" w:type="dxa"/>
              <w:left w:w="75" w:type="dxa"/>
              <w:bottom w:w="75" w:type="dxa"/>
              <w:right w:w="75" w:type="dxa"/>
            </w:tcMar>
            <w:vAlign w:val="center"/>
          </w:tcPr>
          <w:p w14:paraId="18991F8D" w14:textId="1E235358" w:rsidR="004E042B" w:rsidRDefault="008613F6" w:rsidP="00887B9D">
            <w:r>
              <w:t>Saskaņā ar Sabiedriskā labuma organizāciju likuma 11.</w:t>
            </w:r>
            <w:r w:rsidR="00477E84">
              <w:t xml:space="preserve"> </w:t>
            </w:r>
            <w:r>
              <w:t xml:space="preserve">panta otro daļu, ja sabiedriskā labuma organizācijas (SLO) saņemto ziedojumu kopsumma kalendārajā gadā pārsniedz 12 minimālās mēneša darba algas, šai organizācijai ir pienākums ne mazāk kā 75% no kopsummas, ko veido attiecīgajā kalendārajā gadā izlietotie ziedojumi un ieņēmumi no tās saimnieciskās darbības, kurai piemēro nodokļu atvieglojumus, izlietot tikai tai sabiedriskā labuma darbības jomai, kura minēta lēmumā par SLO statusa piešķiršanu attiecīgajai </w:t>
            </w:r>
            <w:r>
              <w:lastRenderedPageBreak/>
              <w:t xml:space="preserve">organizācijai. Ierosinām pārskatīt minēto normu un aizstāt vārdu </w:t>
            </w:r>
            <w:r w:rsidR="009E0D03">
              <w:t>“</w:t>
            </w:r>
            <w:r>
              <w:t>ieņēmumi</w:t>
            </w:r>
            <w:r w:rsidR="009E0D03">
              <w:t>”</w:t>
            </w:r>
            <w:r>
              <w:t xml:space="preserve"> ar vārdu </w:t>
            </w:r>
            <w:r w:rsidR="009E0D03">
              <w:t>“</w:t>
            </w:r>
            <w:r>
              <w:t>ienākumi</w:t>
            </w:r>
            <w:r w:rsidR="009E0D03">
              <w:t>”</w:t>
            </w:r>
            <w:r>
              <w:t xml:space="preserve"> (t.i. saimnieciskās darbības ieņēmumi, no kuriem atskaitīti saimnieciskās darbības izdevumi). SLO dažādu apsvērumu dēļ (piemēram, vēlme iegūt papildus līdzekļus telpu uzturēšanai vai sabiedriskā labuma aktivitāšu finansēšanai) veic arī saimniecisko darbību, kura nereti ir pat zaudējumus nesoša (kurus nevar segt no ziedojumiem atbilstoši likuma 10.</w:t>
            </w:r>
            <w:r w:rsidR="00477E84">
              <w:t xml:space="preserve"> </w:t>
            </w:r>
            <w:r>
              <w:t>panta trešajai daļai), līdz ar to nav pamatoti prasīt 75% no saimnieciskās darbības ieņēmumiem (ja ziedojumu izlietojums pārskata gadā ir neliels) virzīt sabiedriskā labuma darbībai, nerēķinoties ar reālajām saimnieciskās darbības izmaksām.</w:t>
            </w:r>
          </w:p>
        </w:tc>
        <w:tc>
          <w:tcPr>
            <w:tcW w:w="2410" w:type="dxa"/>
            <w:shd w:val="clear" w:color="auto" w:fill="FFFFFF"/>
            <w:noWrap/>
            <w:tcMar>
              <w:top w:w="75" w:type="dxa"/>
              <w:left w:w="75" w:type="dxa"/>
              <w:bottom w:w="75" w:type="dxa"/>
              <w:right w:w="75" w:type="dxa"/>
            </w:tcMar>
          </w:tcPr>
          <w:p w14:paraId="455C2928" w14:textId="4C0CD29D" w:rsidR="004E042B" w:rsidRDefault="00EB46CB" w:rsidP="00CC1364">
            <w:pPr>
              <w:jc w:val="left"/>
            </w:pPr>
            <w:r>
              <w:rPr>
                <w:b/>
              </w:rPr>
              <w:lastRenderedPageBreak/>
              <w:t>N</w:t>
            </w:r>
            <w:r w:rsidRPr="00EB46CB">
              <w:rPr>
                <w:b/>
              </w:rPr>
              <w:t>av ņemts vērā</w:t>
            </w:r>
          </w:p>
        </w:tc>
        <w:tc>
          <w:tcPr>
            <w:tcW w:w="4083" w:type="dxa"/>
            <w:shd w:val="clear" w:color="auto" w:fill="FFFFFF"/>
            <w:noWrap/>
            <w:tcMar>
              <w:top w:w="75" w:type="dxa"/>
              <w:left w:w="75" w:type="dxa"/>
              <w:bottom w:w="75" w:type="dxa"/>
              <w:right w:w="75" w:type="dxa"/>
            </w:tcMar>
          </w:tcPr>
          <w:p w14:paraId="4499EBCB" w14:textId="3598BD4F" w:rsidR="00EE08A6" w:rsidRPr="00EE08A6" w:rsidRDefault="00EE08A6" w:rsidP="00EE08A6">
            <w:r w:rsidRPr="00030BAB">
              <w:t xml:space="preserve">Priekšlikums </w:t>
            </w:r>
            <w:r w:rsidR="005C1A6B">
              <w:t xml:space="preserve">pašlaik </w:t>
            </w:r>
            <w:r w:rsidRPr="00030BAB">
              <w:t>nav atbalstāms.</w:t>
            </w:r>
            <w:r w:rsidR="005C1A6B">
              <w:t xml:space="preserve"> </w:t>
            </w:r>
            <w:r w:rsidRPr="00EE08A6">
              <w:t>Vēršam uzmanību, ka jautājums par Sabiedriskā labuma organizāciju likuma 11. panta otrajā daļā noteikto 75% regulējumu nav skatāms izolēti, bet gan ir cieši saistīts ar sabiedriskā labuma sektora kopējo tiesisko regulējumu un tā attīstību.</w:t>
            </w:r>
          </w:p>
          <w:p w14:paraId="5FF79466" w14:textId="10CFBEA4" w:rsidR="00EE08A6" w:rsidRPr="00EE08A6" w:rsidRDefault="00EE08A6" w:rsidP="00EE08A6">
            <w:r w:rsidRPr="00EE08A6">
              <w:t xml:space="preserve">Finanšu ministrija </w:t>
            </w:r>
            <w:r w:rsidR="00934518">
              <w:t>ir</w:t>
            </w:r>
            <w:r w:rsidRPr="00EE08A6">
              <w:t xml:space="preserve"> izstrādāj</w:t>
            </w:r>
            <w:r w:rsidR="00934518">
              <w:t>usi</w:t>
            </w:r>
            <w:r w:rsidRPr="00EE08A6">
              <w:t xml:space="preserve"> likumprojektu “Grozījumi Sabiedriskā labuma organizāciju likumā” (TAP lietas Nr. 22</w:t>
            </w:r>
            <w:r w:rsidRPr="00EE08A6">
              <w:noBreakHyphen/>
              <w:t>TA</w:t>
            </w:r>
            <w:r w:rsidRPr="00EE08A6">
              <w:noBreakHyphen/>
              <w:t xml:space="preserve">3618), kas paredzēja kompleksas izmaiņas sabiedriskā labuma organizāciju regulējumā. Tomēr 2024. gada 27. novembrī </w:t>
            </w:r>
            <w:r w:rsidRPr="00EE08A6">
              <w:lastRenderedPageBreak/>
              <w:t>Nevalstisko organizāciju un Ministru kabineta sadarbības memoranda īstenošanas padome pieņēma lēmumu apturēt minētā likumprojekta turpmāko virzību, vienlaikus vienojoties, ka sabiedriskā labuma sektora regulējums ir vērtējams plašākā biedrību un nodibinājumu darbības kontekstā.</w:t>
            </w:r>
          </w:p>
          <w:p w14:paraId="3804FC19" w14:textId="77777777" w:rsidR="00EE08A6" w:rsidRPr="00EE08A6" w:rsidRDefault="00EE08A6" w:rsidP="00EE08A6">
            <w:r w:rsidRPr="00EE08A6">
              <w:t>Savukārt 2025. gada 29. janvārī padome pieņēma lēmumu uzsākt padziļinātu pētījumu par biedrību un nodibinājumu sektoru Latvijā, lai izvērtētu organizāciju atbilstību tiesiskajam regulējumam, analizētu sektora struktūru, darbības jomas un finansējuma avotus, kā arī identificētu organizācijas, kas, iespējams, neatbilst biedrību un nodibinājumu būtībai.</w:t>
            </w:r>
          </w:p>
          <w:p w14:paraId="32482C44" w14:textId="0CD141E5" w:rsidR="00EE08A6" w:rsidRPr="00EE08A6" w:rsidRDefault="00EE08A6" w:rsidP="00EE08A6">
            <w:r w:rsidRPr="00EE08A6">
              <w:t>Pētījuma ietvaros paredzēta arī salīdzinošā analīze ar citu valstu praksi, kā arī rekomendāciju izstrāde tiesiskā regulējuma pilnveidei. Pētījum</w:t>
            </w:r>
            <w:r w:rsidR="003F72FF">
              <w:t xml:space="preserve">u plānots pabeigt </w:t>
            </w:r>
            <w:r w:rsidR="00970E61">
              <w:t>2026. gada otrajā pusē</w:t>
            </w:r>
            <w:r w:rsidRPr="00EE08A6">
              <w:t>.</w:t>
            </w:r>
          </w:p>
          <w:p w14:paraId="7BA3C190" w14:textId="0083C129" w:rsidR="004E042B" w:rsidRDefault="00EE08A6" w:rsidP="00EE08A6">
            <w:r w:rsidRPr="00EE08A6">
              <w:lastRenderedPageBreak/>
              <w:t xml:space="preserve">Ņemot vērā minēto, secināms, ka </w:t>
            </w:r>
            <w:r w:rsidR="00970E61">
              <w:t>esošā</w:t>
            </w:r>
            <w:r w:rsidRPr="00EE08A6">
              <w:t xml:space="preserve"> regulējuma pārskatīšana</w:t>
            </w:r>
            <w:r w:rsidR="00970E61">
              <w:t xml:space="preserve"> saistībā ar 75% izlietojumu</w:t>
            </w:r>
            <w:r w:rsidRPr="00EE08A6">
              <w:t xml:space="preserve"> ir skatāma tikai kopējā sabiedriskā labuma sektora reformu kontekstā, balstoties uz minētā pētījuma rezultātiem. Atsevišķu normu grozīšana pirms šādas visaptverošas izvērtēšanas pabeigšanas nav lietderīga.</w:t>
            </w:r>
          </w:p>
        </w:tc>
      </w:tr>
      <w:tr w:rsidR="004E042B" w14:paraId="56CFCA98" w14:textId="77777777" w:rsidTr="00887B9D">
        <w:tc>
          <w:tcPr>
            <w:tcW w:w="750" w:type="dxa"/>
            <w:shd w:val="clear" w:color="auto" w:fill="FFFFFF"/>
            <w:noWrap/>
            <w:tcMar>
              <w:top w:w="75" w:type="dxa"/>
              <w:left w:w="75" w:type="dxa"/>
              <w:bottom w:w="75" w:type="dxa"/>
              <w:right w:w="75" w:type="dxa"/>
            </w:tcMar>
          </w:tcPr>
          <w:p w14:paraId="107B897E" w14:textId="77777777" w:rsidR="004E042B" w:rsidRDefault="008613F6">
            <w:pPr>
              <w:jc w:val="center"/>
            </w:pPr>
            <w:r>
              <w:lastRenderedPageBreak/>
              <w:t>2.</w:t>
            </w:r>
          </w:p>
        </w:tc>
        <w:tc>
          <w:tcPr>
            <w:tcW w:w="3213" w:type="dxa"/>
            <w:shd w:val="clear" w:color="auto" w:fill="FFFFFF"/>
            <w:noWrap/>
            <w:tcMar>
              <w:top w:w="75" w:type="dxa"/>
              <w:left w:w="75" w:type="dxa"/>
              <w:bottom w:w="75" w:type="dxa"/>
              <w:right w:w="75" w:type="dxa"/>
            </w:tcMar>
          </w:tcPr>
          <w:p w14:paraId="6E56718D" w14:textId="1AEFC0F4" w:rsidR="004E042B" w:rsidRDefault="00457CE4">
            <w:pPr>
              <w:jc w:val="left"/>
            </w:pPr>
            <w:r>
              <w:t xml:space="preserve">Biedrība </w:t>
            </w:r>
            <w:r w:rsidR="009E0D03">
              <w:t>“</w:t>
            </w:r>
            <w:r w:rsidR="008613F6">
              <w:t>Vidusdaugavas NVO centrs</w:t>
            </w:r>
            <w:r w:rsidR="009E0D03">
              <w:t>”</w:t>
            </w:r>
          </w:p>
        </w:tc>
        <w:tc>
          <w:tcPr>
            <w:tcW w:w="4111" w:type="dxa"/>
            <w:shd w:val="clear" w:color="auto" w:fill="FFFFFF"/>
            <w:noWrap/>
            <w:tcMar>
              <w:top w:w="75" w:type="dxa"/>
              <w:left w:w="75" w:type="dxa"/>
              <w:bottom w:w="75" w:type="dxa"/>
              <w:right w:w="75" w:type="dxa"/>
            </w:tcMar>
            <w:vAlign w:val="center"/>
          </w:tcPr>
          <w:p w14:paraId="054F12B5" w14:textId="77777777" w:rsidR="004E042B" w:rsidRPr="00354C03" w:rsidRDefault="008613F6" w:rsidP="00887B9D">
            <w:r w:rsidRPr="00354C03">
              <w:t>Priekšlikumi par iesniegumu iesniegšanas kārtības regulējumu:</w:t>
            </w:r>
            <w:r w:rsidRPr="00354C03">
              <w:br/>
              <w:t>Biedrība “Vidusdaugavas NVO centrs” konceptuāli atbalsta likumprojektā paredzēto risinājumu noteikt VID Elektroniskās deklarēšanas sistēmu kā vienoto vidi iesniegumu iesniegšanai sabiedriskā labuma statusa piešķiršanas procesā, jo tas atbilst valsts pārvaldes digitalizācijas, administratīvā procesa efektivitātes un birokrātiskā sloga mazināšanas principiem.</w:t>
            </w:r>
            <w:r w:rsidRPr="00354C03">
              <w:br/>
            </w:r>
            <w:r w:rsidRPr="00354C03">
              <w:br/>
              <w:t xml:space="preserve">Vienlaikus uzskatām, ka </w:t>
            </w:r>
            <w:r w:rsidRPr="00354C03">
              <w:lastRenderedPageBreak/>
              <w:t>administratīvā procesa digitalizācijai praksē būtu jānodrošina ne vien dokumentu iesniegšanas formas maiņa, bet arī pilnvērtīga un konsekventa “vienreizējas datu iesniegšanas” principu, īstenošana valsts pārvaldē. Ievērojot minēto, aicinām nodrošināt, ka sabiedriskā labuma organizācijām netiek atkārtoti pieprasīta informācija vai dokumenti, kas jau ir Valsts ieņēmumu dienesta, Uzņēmumu reģistra vai citu valsts pārvaldes institūciju rīcībā.</w:t>
            </w:r>
            <w:r w:rsidRPr="00354C03">
              <w:br/>
              <w:t xml:space="preserve">Papildus aicinām izvērtēt nepieciešamību ārējā normatīvajā regulējumā skaidrāk nostiprināt atsevišķus procesuālos aspektus, kas saistīti ar sabiedriskā labuma organizāciju iesniegumu apriti VID Elektroniskās deklarēšanas sistēmā, tostarp dokumentu precizēšanas kārtību, informācijas aktualizāciju starp valsts reģistriem, procesuālo termiņu piemērošanu un organizāciju tiesībām sniegt paskaidrojumus </w:t>
            </w:r>
            <w:r w:rsidRPr="00354C03">
              <w:lastRenderedPageBreak/>
              <w:t>administratīvā procesa ietvaros.</w:t>
            </w:r>
            <w:r w:rsidRPr="00354C03">
              <w:br/>
              <w:t>Uzsveram, ka vienveidīgs un tiesiski skaidrs regulējums veicinātu prognozējamu administratīvā procesa piemērošanu praksē, mazinātu atšķirīgas interpretācijas risku un samazinātu nevajadzīgu slogu gan nevalstiskajām organizācijām, gan valsts pārvaldes institūcijām.</w:t>
            </w:r>
            <w:r w:rsidRPr="00354C03">
              <w:br/>
            </w:r>
            <w:r w:rsidRPr="00354C03">
              <w:br/>
              <w:t>Priekšlikumi par izmaiņām, kas izdarītas Uzņēmumu reģistrā par sabiedriskā labuma organizācijas nosaukuma vai juridiskās adreses maiņu: </w:t>
            </w:r>
            <w:r w:rsidRPr="00354C03">
              <w:br/>
              <w:t>Biedrība “Vidusdaugavas NVO centrs” atbalsta automatizētu datu apmaiņu starp Uzņēmumu reģistru un Valsts ieņēmumu dienestu attiecībā uz sabiedriskā labuma organizāciju nosaukuma un jurisdiskās adreses izmaiņām, jo tas atbilst efektīvas valsts pārvaldes, administratīvā sloga mazināšanas un procesu digitalizācijas principiem.</w:t>
            </w:r>
            <w:r w:rsidRPr="00354C03">
              <w:br/>
              <w:t xml:space="preserve">Vienlaikus uzskatām, ka </w:t>
            </w:r>
            <w:r w:rsidRPr="00354C03">
              <w:lastRenderedPageBreak/>
              <w:t>automatizētai datu aktualizācijai praksē jānodrošina tiesiskās noteiktības, datu ticamības un institucionālās atbildības principu ievērošana. Ievērojot minēto, aicinām normatīvajā regulējumā skaidrāk nostiprināt, ka sabiedriskā labuma organizācijai nevar iestāties nelabvēlīgas tiesiskas sekas gadījumos, kad datu nesakritības vai novēlota aktualizācija radusies starpinstitucionālās datu apmaiņas vai tehniskās sinhronizācijas procesa ietvaros starp Uzņēmumu reģistru un Valsts ieņēmumu dienestu.</w:t>
            </w:r>
            <w:r w:rsidRPr="00354C03">
              <w:br/>
              <w:t xml:space="preserve">Papildus aicinām paredzēt skaidru datu aktualizācijas, auditācijas un atbildības kārtību gadījumiem, kad sabiedriskā labuma organizāciju reģistrā automātiski tiek pārņemtas Uzņēmumu reģistra reģistrētās izmaiņas par organizācijas nosaukumu vai juridisko adresi. Vienlaikus uzskatām, ka praksē pilnvērtīgi īstenojams arī “vienreizējas datu iesniegšanas” princips, novēršot atkārtotu </w:t>
            </w:r>
            <w:r w:rsidRPr="00354C03">
              <w:lastRenderedPageBreak/>
              <w:t>informācijas pieprasīšanu no organizācijām.</w:t>
            </w:r>
            <w:r w:rsidRPr="00354C03">
              <w:br/>
            </w:r>
            <w:r w:rsidRPr="00354C03">
              <w:br/>
              <w:t>Priekšlikumi par iepriekšējā gada darbības pārskata iesniegšanas kārtību: </w:t>
            </w:r>
            <w:r w:rsidRPr="00354C03">
              <w:br/>
              <w:t>Biedrība “Vidusdaugavas NVO centrs” kopumā atbalsta likumprojektā paredzēto pieeju nostiprināt līdzšinējo praksi, ka informācija par sabiedriskā labuma darbību un turpmākās darbības plāniem tiek iekļauta gada pārskata vadības ziņojumā un iesniegta Valsts ieņēmumu dienestam Elektroniskās deklarēšanas sistēmā.</w:t>
            </w:r>
            <w:r w:rsidRPr="00354C03">
              <w:br/>
              <w:t xml:space="preserve"> Vienlaikus aicinām izvērtēt nepieciešamību Ministru kabineta noteikumos vai VID metodiskajos norādījumos skaidrāk noteikt sabiedriskā labuma organizāciju gada pārskata vadības ziņojumā ietveramās informācijas </w:t>
            </w:r>
            <w:r w:rsidRPr="00354C03">
              <w:rPr>
                <w:b/>
              </w:rPr>
              <w:t>minimālo saturu, struktūru un detalizācijas pakāpi attiecībā uz sabiedriskā labuma darbību un turpmākās darbības plāniem.</w:t>
            </w:r>
            <w:r w:rsidRPr="00354C03">
              <w:br/>
            </w:r>
            <w:r w:rsidRPr="00354C03">
              <w:lastRenderedPageBreak/>
              <w:t>Ievērojot to, ka praksē iespējama atšķirīga interpretācija par sniedzamās informācijas apjomu un detalizācijas pakāpi, uzskatām, ka vienota metodiskā pieeja veicinātu vienveidīgu prasību piemērošanu, stiprinātu tiesisko noteiktību un mazinātu nepieciešamību mazinātu nepieciešamību organizācijām sniegt papildu precizējumus administratīvā procesa ietvaros.</w:t>
            </w:r>
            <w:r w:rsidRPr="00354C03">
              <w:br/>
            </w:r>
            <w:r w:rsidRPr="00354C03">
              <w:br/>
              <w:t>Aicinām grozīt Sabiedriskā labuma organizāciju likuma 9. pantu pirmo daļu, paredzot, ka ziedojums var būt arī pakalpojums, izsakot to šādā redakcijā: “Ziedojums šā likuma izpratnē ir manta, pakalpojums vai finanšu līdzekļi, kurus persona (ziedotājs) bez atlīdzības, pamatojoties uz savstarpēju vienošanos, nodod vai sniedz sabiedriskā labuma organizācijai tās statūtos, satversmē vai nolikumā norādīto mērķu sasniegšanai un kuriem var piemērot nodokļu atvieglojumus.” </w:t>
            </w:r>
            <w:r w:rsidRPr="00354C03">
              <w:br/>
            </w:r>
            <w:r w:rsidRPr="00354C03">
              <w:lastRenderedPageBreak/>
              <w:t>Sabiedriskā labuma organizāciju likuma 9. panta pirmā daļa šobrīd paredz, ka ziedojums var būt tikai manta vai finanšu līdzekļi, tādējādi neparedzot iespēju ziedot pakalpojumus. Praksē tas rada būtiskas problēmas, jo sabiedriskā labuma organizācijām nozīmīgu atbalstu bieži veido tieši bezatlīdzības profesionālie pakalpojumi. Īpaši problemātiska ir PVN piemērošana, jo arī gadījumos, kad pakalpojums tiek sniegts bez atlīdzības jeb faktiski ziedots, noteiktos gadījumos ir aprēķināms un maksājams PVN. Tādējādi par bezatlīdzības darījumu rodas nodokļu saistības, kas neveicina filantropiju un attur uzņēmumus un profesionāļus no pro bono atbalsta sniegšanas sabiedriskā labuma organizācijām.  </w:t>
            </w:r>
            <w:r w:rsidRPr="00354C03">
              <w:br/>
            </w:r>
            <w:r w:rsidRPr="00354C03">
              <w:br/>
              <w:t xml:space="preserve">Aicinām grozīt Sabiedriskā labuma organizāciju likuma 11. panta otro daļu, paredzot, ka par sabiedriskā labuma darbībai izlietotiem </w:t>
            </w:r>
            <w:r w:rsidRPr="00354C03">
              <w:lastRenderedPageBreak/>
              <w:t xml:space="preserve">līdzekļiem uzskatāmi arī ieņēmumi no saimnieciskās darbības, kas izmantoti organizācijas darbības nepārtrauktības nodrošināšanai, sociālo pakalpojumu sniegšanai, infrastruktūras uzturēšanai, darbinieku atlīdzībai un citiem ar sabiedriskā labuma mērķu sasniegšanu tieši saistītiem izdevumiem, izsakot to šādā redakcijā: “Ja sabiedriskā labuma organizācijas saņemto ziedojumu kopsumma kalendārajā gadā pārsniedz 12 minimālās mēneša darba algas, šai organizācijai ir pienākums ne mazāk kā 75 procentus no šīs kopsummas, ko veido attiecīgajā kalendārajā gadā izlietotie ziedojumi un ieņēmumi no tās saimnieciskās darbības, kurai piemēro nodokļu atvieglojumus, izlietot tai sabiedriskā labuma darbības jomai, kura minēta lēmumā par sabiedriskā labuma organizācijas statusa piešķiršanu attiecīgajai organizācijai, tai skaitā organizācijas darbības nepārtrauktības nodrošināšanai, </w:t>
            </w:r>
            <w:r w:rsidRPr="00354C03">
              <w:lastRenderedPageBreak/>
              <w:t>sociālo pakalpojumu sniegšanai, infrastruktūras uzturēšanai, darbinieku atlīdzībai un citiem ar sabiedriskā labuma mērķu sasniegšanu tieši saistītiem izdevumiem.” </w:t>
            </w:r>
            <w:r w:rsidRPr="00354C03">
              <w:br/>
              <w:t xml:space="preserve">Pašreizējais regulējums paredz stingras prasības attiecībā uz ziedojumu un saimnieciskās darbības ieņēmumu izlietojumu, radot neskaidrības par normu interpretāciju un piemērošanu praksē. Tas apgrūtina organizāciju spēju elastīgi nodrošināt sociālos pakalpojumus un rada riskus sabiedriskā labuma statusa saglabāšanai. Īpaši problemātiski tas ir sociālo pakalpojumu sniedzējiem, kuru darbība bieži balstās uz dažādu finansējuma avotu kombinēšanu un ilgtermiņa finanšu plānošanu. Ņemot vērā pastāvošo tiesisko nenoteiktību un iespējamos atšķirīgos normu interpretācijas riskus, nepieciešams steidzamības kārtā pārskatīt un precizēt regulējumu, skaidri nosakot saimnieciskās darbības </w:t>
            </w:r>
            <w:r w:rsidRPr="00354C03">
              <w:lastRenderedPageBreak/>
              <w:t>ieņēmumu izlietošanas principus sabiedriskā labuma organizācijām. </w:t>
            </w:r>
            <w:r w:rsidRPr="00354C03">
              <w:br/>
            </w:r>
            <w:r w:rsidRPr="00354C03">
              <w:br/>
              <w:t>Aicinām papildināt Sabiedriskā labuma organizāciju likuma 6. pantu ar jaunu daļu šādā redakcijā: “Sabiedriskā labuma komisijas locekļiem, kuri pārstāv biedrības un nodibinājumus, par dalību komisijas darbā ir tiesības saņemt atlīdzību. Ministru kabinets nosaka Sabiedriskā labuma komisijas locekļu atlīdzības apmēru un izmaksas kārtību”. </w:t>
            </w:r>
            <w:r w:rsidRPr="00354C03">
              <w:br/>
              <w:t xml:space="preserve">Sabiedriskā labuma komisijas darbība ietver profesionālu un atbildīgu lēmumu pieņemšanu ar tiešu ietekmi uz organizāciju sabiedriskā labuma statusu, uzraudzību un nodokļu atvieglojumu piemērošanu, kas praksē prasa regulāru iesaisti, augstu kompetenci un būtisku laika ieguldījumu. Vienlaikus biedrību un nodibinājumu pārstāvju dalība komisijas darbā šobrīd pārsvarā tiek nodrošināta bez atlīdzības, radot risku, ka pilnvērtīgi </w:t>
            </w:r>
            <w:r w:rsidRPr="00354C03">
              <w:lastRenderedPageBreak/>
              <w:t>iesaistīties iespējams tikai ierobežotam personu lokam ar pietiekamiem neatkarīgiem resursiem. Tas var negatīvi ietekmēt pārstāvības daudzveidību un pilsoniskās sabiedrības ekspertīzes pieejamību komisijas darbā. Atlīdzības mehānisma paredzēšana veicinātu vienlīdzīgākus iesaistes nosacījumus starp publiskā sektora un biedrību un nodibinājumu pārstāvjiem, stiprinātu komisijas darba ilgtspēju un profesionalitāti, kā arī nodrošinātu konsekvenci ar labas pārvaldības principiem. Jāuzsver, ka līdzīga pieeja jau ir ieviesta Sabiedrības integrācijas fonda padomē, kur padomes locekļu darbs tiek atlīdzināts, tādējādi nodrošinot līdzsvarotu un profesionālu līdzdalību lēmumu pieņemšanas procesā. </w:t>
            </w:r>
            <w:r w:rsidRPr="00354C03">
              <w:br/>
            </w:r>
          </w:p>
        </w:tc>
        <w:tc>
          <w:tcPr>
            <w:tcW w:w="2410" w:type="dxa"/>
            <w:shd w:val="clear" w:color="auto" w:fill="FFFFFF"/>
            <w:noWrap/>
            <w:tcMar>
              <w:top w:w="75" w:type="dxa"/>
              <w:left w:w="75" w:type="dxa"/>
              <w:bottom w:w="75" w:type="dxa"/>
              <w:right w:w="75" w:type="dxa"/>
            </w:tcMar>
          </w:tcPr>
          <w:p w14:paraId="458D4D32" w14:textId="41CC8523" w:rsidR="004E042B" w:rsidRPr="00CC1364" w:rsidRDefault="007776E1" w:rsidP="00F03559">
            <w:pPr>
              <w:jc w:val="left"/>
              <w:rPr>
                <w:b/>
                <w:bCs/>
              </w:rPr>
            </w:pPr>
            <w:r>
              <w:rPr>
                <w:b/>
                <w:bCs/>
              </w:rPr>
              <w:lastRenderedPageBreak/>
              <w:t xml:space="preserve">Nav </w:t>
            </w:r>
            <w:r w:rsidR="008F028F" w:rsidRPr="00CC1364">
              <w:rPr>
                <w:b/>
                <w:bCs/>
              </w:rPr>
              <w:t>ņemts vērā</w:t>
            </w:r>
          </w:p>
        </w:tc>
        <w:tc>
          <w:tcPr>
            <w:tcW w:w="4083" w:type="dxa"/>
            <w:shd w:val="clear" w:color="auto" w:fill="FFFFFF"/>
            <w:noWrap/>
            <w:tcMar>
              <w:top w:w="75" w:type="dxa"/>
              <w:left w:w="75" w:type="dxa"/>
              <w:bottom w:w="75" w:type="dxa"/>
              <w:right w:w="75" w:type="dxa"/>
            </w:tcMar>
            <w:vAlign w:val="center"/>
          </w:tcPr>
          <w:p w14:paraId="1ACD3949" w14:textId="0004A0F7" w:rsidR="007776E1" w:rsidRDefault="007776E1" w:rsidP="00887B9D">
            <w:r w:rsidRPr="007776E1">
              <w:t xml:space="preserve">Priekšlikums nav atbalstāms, jo “vienreizējas datu iesniegšanas” princips jau ir nostiprināts </w:t>
            </w:r>
            <w:r w:rsidR="00FD3C38">
              <w:t>citos normatīvajos aktos</w:t>
            </w:r>
            <w:r w:rsidRPr="007776E1">
              <w:t xml:space="preserve">. Valsts informācijas sistēmu likuma 6. panta otrā daļa aizliedz atkārtoti vākt datus, kas jau ir pieejami integrētajā valsts informācijas sistēmā, bet 6. panta trešā daļa nosaka, ka informācija par datu subjektu reģistrējama tikai vienu reizi attiecīgajā reģistrā, nodrošinot tās izmantošanu citās sistēmās. Valsts pārvaldes iekārtas likuma 10. panta astotā daļa paredz, ka iestāde nepieciešamo informāciju iegūst pati no citas institūcijas, </w:t>
            </w:r>
            <w:r w:rsidRPr="007776E1">
              <w:lastRenderedPageBreak/>
              <w:t xml:space="preserve">nevis pieprasa to atkārtoti privātpersonai. </w:t>
            </w:r>
          </w:p>
          <w:p w14:paraId="1A0E21F0" w14:textId="77777777" w:rsidR="002C23D5" w:rsidRDefault="002C23D5" w:rsidP="00887B9D"/>
          <w:p w14:paraId="0EA68529" w14:textId="5AD7B7A7" w:rsidR="002C23D5" w:rsidRPr="002C23D5" w:rsidRDefault="00887B9D" w:rsidP="00887B9D">
            <w:r>
              <w:t>Tāpat arī priekšlikumā</w:t>
            </w:r>
            <w:r w:rsidR="002C23D5" w:rsidRPr="002C23D5">
              <w:t xml:space="preserve"> minētie procesuālie jautājumi jau ir noregulēti vispārējā regulējumā</w:t>
            </w:r>
            <w:r>
              <w:t>, piemēram,</w:t>
            </w:r>
            <w:r w:rsidR="002C23D5" w:rsidRPr="002C23D5">
              <w:t xml:space="preserve"> </w:t>
            </w:r>
            <w:r>
              <w:t>i</w:t>
            </w:r>
            <w:r w:rsidR="002C23D5" w:rsidRPr="002C23D5">
              <w:t xml:space="preserve">esniegumu iesniegšana </w:t>
            </w:r>
            <w:r>
              <w:t>Valsts ieņēmumu dienesta</w:t>
            </w:r>
            <w:r w:rsidR="00C95AC6">
              <w:t xml:space="preserve"> </w:t>
            </w:r>
            <w:r w:rsidR="00C95AC6" w:rsidRPr="00354C03">
              <w:t>Elektroniskās deklarēšanas sistēmā</w:t>
            </w:r>
            <w:r>
              <w:t xml:space="preserve"> (turpmāk – </w:t>
            </w:r>
            <w:r w:rsidR="002C23D5" w:rsidRPr="002C23D5">
              <w:t>VID EDS</w:t>
            </w:r>
            <w:r>
              <w:t>)</w:t>
            </w:r>
            <w:r w:rsidR="002C23D5" w:rsidRPr="002C23D5">
              <w:t xml:space="preserve"> un tā juridiskais spēks ir noteikts likuma “Par nodokļiem un nodevām” 7.</w:t>
            </w:r>
            <w:r w:rsidR="002C23D5" w:rsidRPr="002C23D5">
              <w:rPr>
                <w:vertAlign w:val="superscript"/>
              </w:rPr>
              <w:t>3</w:t>
            </w:r>
            <w:r w:rsidR="002C23D5" w:rsidRPr="002C23D5">
              <w:t xml:space="preserve"> pantā (iesniegums iesniedzams EDS, un tam ir juridisks spēks arī bez rekvizīta “paraksts”)</w:t>
            </w:r>
            <w:r>
              <w:t>;</w:t>
            </w:r>
            <w:r w:rsidR="002C23D5" w:rsidRPr="002C23D5">
              <w:t xml:space="preserve"> VID dokumentu paziņošanas vispārējā kārtība un paziņošanas mehānisms izriet no Paziņošanas likuma (piemērojams, ja citos likumos nav noteikts citādi), savukārt procesuālie termiņi, procesa dalībnieku tiesības sniegt paskaidrojumus un citi administratīvā procesa jautājumi ir regulēti Administratīvā procesa likumā. Tāpēc detalizēšana Sabiedriskā labuma organizāciju </w:t>
            </w:r>
            <w:r w:rsidR="002C23D5" w:rsidRPr="002C23D5">
              <w:lastRenderedPageBreak/>
              <w:t>likumā radītu normu dublēšanos un interpretācijas riskus.</w:t>
            </w:r>
          </w:p>
          <w:p w14:paraId="38CA7F9A" w14:textId="77777777" w:rsidR="00400699" w:rsidRDefault="00400699" w:rsidP="00887B9D"/>
          <w:p w14:paraId="77426D5E" w14:textId="77777777" w:rsidR="00EA5753" w:rsidRDefault="00400699" w:rsidP="00887B9D">
            <w:r w:rsidRPr="00400699">
              <w:t>A</w:t>
            </w:r>
            <w:r w:rsidR="00C95AC6">
              <w:t>ttiecībā uz a</w:t>
            </w:r>
            <w:r w:rsidRPr="00400699">
              <w:t>utomatizētu datu pārņemšanu no Uzņēmumu reģistra</w:t>
            </w:r>
            <w:r w:rsidR="005C47A3">
              <w:t xml:space="preserve"> (turpmāk – UR)</w:t>
            </w:r>
            <w:r w:rsidRPr="00400699">
              <w:t xml:space="preserve"> par </w:t>
            </w:r>
            <w:r w:rsidR="00C95AC6">
              <w:t xml:space="preserve">sabiedriskā labuma organizācijas (turpmāk – </w:t>
            </w:r>
            <w:r w:rsidRPr="00400699">
              <w:t>SLO</w:t>
            </w:r>
            <w:r w:rsidR="00C95AC6">
              <w:t>)</w:t>
            </w:r>
            <w:r w:rsidRPr="00400699">
              <w:t xml:space="preserve"> nosaukuma/juridiskās adreses maiņu</w:t>
            </w:r>
            <w:r w:rsidR="00C95AC6">
              <w:t>, vēršam uzmanību, ka</w:t>
            </w:r>
            <w:r w:rsidRPr="00400699">
              <w:t xml:space="preserve"> likumprojekts jau paredz </w:t>
            </w:r>
            <w:r w:rsidR="00C95AC6">
              <w:t xml:space="preserve">šādas izmaiņas </w:t>
            </w:r>
            <w:r w:rsidRPr="00400699">
              <w:t xml:space="preserve">(VID aktualizē informāciju SLO reģistrā, pamatojoties uz UR izmaiņām, atsakoties no atsevišķa lēmuma izdošanas), turklāt anotācijā </w:t>
            </w:r>
            <w:r w:rsidR="00C95AC6">
              <w:t>iekļauta arī informācija par</w:t>
            </w:r>
            <w:r w:rsidRPr="00400699">
              <w:t xml:space="preserve"> automatizēta auditācijas ieraksta </w:t>
            </w:r>
            <w:r w:rsidR="00C95AC6" w:rsidRPr="00400699">
              <w:t>izveid</w:t>
            </w:r>
            <w:r w:rsidR="00C95AC6">
              <w:t>i</w:t>
            </w:r>
            <w:r w:rsidR="00C95AC6" w:rsidRPr="00400699">
              <w:t xml:space="preserve"> </w:t>
            </w:r>
            <w:r w:rsidRPr="00400699">
              <w:t xml:space="preserve">par veiktajām izmaiņām. </w:t>
            </w:r>
          </w:p>
          <w:p w14:paraId="75C5672F" w14:textId="77777777" w:rsidR="00EA5753" w:rsidRDefault="00EA5753" w:rsidP="00887B9D"/>
          <w:p w14:paraId="5DF19108" w14:textId="4A6A943B" w:rsidR="00400699" w:rsidRDefault="00C95AC6" w:rsidP="00887B9D">
            <w:r w:rsidRPr="00400699">
              <w:t>Priekšlikum</w:t>
            </w:r>
            <w:r>
              <w:t>s</w:t>
            </w:r>
            <w:r w:rsidRPr="00400699">
              <w:t xml:space="preserve"> daļ</w:t>
            </w:r>
            <w:r>
              <w:t>ā</w:t>
            </w:r>
            <w:r w:rsidRPr="00400699">
              <w:t xml:space="preserve"> </w:t>
            </w:r>
            <w:r w:rsidR="00400699" w:rsidRPr="00400699">
              <w:t xml:space="preserve">par papildu normatīvu nostiprināšanu attiecībā uz nelabvēlīgu seku neiestāšanos iestāžu datu sinhronizācijas kavējumu/nesakritību gadījumos un detalizētu atbildības kārtību nav </w:t>
            </w:r>
            <w:r>
              <w:t>atbalstāms</w:t>
            </w:r>
            <w:r w:rsidR="00400699" w:rsidRPr="00400699">
              <w:t xml:space="preserve">, jo privātpersonu aizsardzība pret iestādes kļūdas </w:t>
            </w:r>
            <w:r w:rsidR="00400699" w:rsidRPr="00400699">
              <w:lastRenderedPageBreak/>
              <w:t>nelabvēlīgām sekām izriet no Administratīvā procesa likumā nostiprinātā tiesiskās paļāvības principa, savukārt pienākums iestādei pašai iegūt nepieciešamo informāciju, ja tā ir citas institūcijas rīcībā, izriet no Valsts pārvaldes iekārtas likuma 10. panta astotās daļas.</w:t>
            </w:r>
          </w:p>
          <w:p w14:paraId="7C6B22B1" w14:textId="77777777" w:rsidR="00541878" w:rsidRDefault="00541878" w:rsidP="00887B9D"/>
          <w:p w14:paraId="43FA947A" w14:textId="3F21C1B2" w:rsidR="00541878" w:rsidRPr="00541878" w:rsidRDefault="00541878" w:rsidP="00887B9D">
            <w:r w:rsidRPr="00541878">
              <w:t xml:space="preserve">Priekšlikums noteikt gada pārskata vadības ziņojumā ietveramās informācijas minimālo saturu, struktūru un detalizācijas pakāpi nav </w:t>
            </w:r>
            <w:r w:rsidR="00DA5E02">
              <w:t>atbalstāms, jo</w:t>
            </w:r>
            <w:r w:rsidRPr="00541878">
              <w:t xml:space="preserve"> </w:t>
            </w:r>
            <w:r w:rsidR="00DA5E02">
              <w:t>š</w:t>
            </w:r>
            <w:r w:rsidRPr="00541878">
              <w:t>āda prasīb</w:t>
            </w:r>
            <w:r w:rsidR="000113C5">
              <w:t>a</w:t>
            </w:r>
            <w:r w:rsidRPr="00541878">
              <w:t xml:space="preserve"> praksē var palielināt administratīvo slogu </w:t>
            </w:r>
            <w:r w:rsidR="00470101">
              <w:t xml:space="preserve">SLO </w:t>
            </w:r>
            <w:r w:rsidRPr="00541878">
              <w:t>(papildu informācijas sagatavošana, strukturēšana) un vienlaikus var prasīt VID informācijas sistēmu/EDS pielāgošanu, kas radītu papildu publiskās izmaksas.</w:t>
            </w:r>
          </w:p>
          <w:p w14:paraId="7958CC0F" w14:textId="77777777" w:rsidR="00541878" w:rsidRDefault="00541878" w:rsidP="00887B9D"/>
          <w:p w14:paraId="22868FAA" w14:textId="77777777" w:rsidR="00AA1A11" w:rsidRPr="00AA1A11" w:rsidRDefault="00AA1A11" w:rsidP="00AA1A11">
            <w:r w:rsidRPr="00AA1A11">
              <w:t xml:space="preserve">Attiecībā uz priekšlikumu paplašināt ziedojuma jēdzienu, vēršam uzmanību, ka šis jautājums jau ir noregulēts spēkā esošajā tiesiskajā regulējumā, jo Saeima ir </w:t>
            </w:r>
            <w:r w:rsidRPr="00AA1A11">
              <w:lastRenderedPageBreak/>
              <w:t>pieņēmusi grozījumus Sabiedriskā labuma organizāciju likumā (likumprojekts Nr. 1347/Lp14), ar kuriem paplašināts ziedojuma jēdziens, ietverot arī pakalpojumus.</w:t>
            </w:r>
          </w:p>
          <w:p w14:paraId="09E2E400" w14:textId="77777777" w:rsidR="00223611" w:rsidRDefault="00223611" w:rsidP="00887B9D"/>
          <w:p w14:paraId="2E78CB34" w14:textId="44CD5618" w:rsidR="001809E8" w:rsidRPr="003A1355" w:rsidRDefault="00D04D0E" w:rsidP="001809E8">
            <w:r w:rsidRPr="00D04D0E">
              <w:t>Par priekšlikumiem grozīt 11. panta otrās daļas 75% izlietojuma regulējumu norādām, ka šis jautājums ir cieši saistīts ar sabiedriskā labuma sektora sistēmiskām reformām. Līdz šim izstrādātā likumprojekta “Grozījumi Sabiedriskā labuma organizāciju likumā” (TAP Nr. 22</w:t>
            </w:r>
            <w:r w:rsidRPr="00D04D0E">
              <w:noBreakHyphen/>
              <w:t>TA</w:t>
            </w:r>
            <w:r w:rsidRPr="00D04D0E">
              <w:noBreakHyphen/>
              <w:t xml:space="preserve">3618) virzība ir apturēta, vienlaikus uzsākot visaptverošu biedrību un nodibinājumu sektora izvērtēšanu. </w:t>
            </w:r>
            <w:r w:rsidR="001809E8" w:rsidRPr="003A1355">
              <w:t>Šis jautājums ir skatāms plašāka sabiedriskā labuma sektora izvērtējuma ietvaros, kā skaidrots 1. punktā.</w:t>
            </w:r>
          </w:p>
          <w:p w14:paraId="3560CDD6" w14:textId="77777777" w:rsidR="001F6A10" w:rsidRPr="001F6A10" w:rsidRDefault="001F6A10" w:rsidP="001F6A10">
            <w:r w:rsidRPr="001F6A10">
              <w:t xml:space="preserve">Par priekšlikumu paredzēt atlīdzību Sabiedriskā labuma komisijas nevalstisko organizāciju pārstāvjiem norādām, ka šobrīd šāds risinājums netiek plānots, </w:t>
            </w:r>
            <w:r w:rsidRPr="001F6A10">
              <w:lastRenderedPageBreak/>
              <w:t>ņemot vērā valsts budžeta ierobežotās iespējas un budžeta līdzekļu taupības principu, kā arī valdības noteiktās prioritātes – valsts drošības un aizsardzības stiprināšanu. Vienlaikus jāņem vērā, ka atlīdzības noteikšana ir cieši saistīta ar plašāku komisijas funkciju un sabiedriskā labuma sistēmas pārvaldības jautājumu izvērtēšanu.</w:t>
            </w:r>
          </w:p>
          <w:p w14:paraId="6E0DFAAC" w14:textId="2CBB8256" w:rsidR="007025AA" w:rsidRPr="007025AA" w:rsidRDefault="00924C5E" w:rsidP="007025AA">
            <w:r w:rsidRPr="00924C5E">
              <w:t>Vienlaikus jāuzsver, ka sabiedriskā labuma sektora regulējuma pilnveide ir cieši saistīta ar plašākiem nevalstiskā sektora attīstības jautājumiem.</w:t>
            </w:r>
            <w:r w:rsidR="006872EB">
              <w:t xml:space="preserve">  </w:t>
            </w:r>
            <w:r w:rsidR="007025AA" w:rsidRPr="007025AA">
              <w:t xml:space="preserve">Sabiedriskā labuma jomas regulējuma pilnveide tiek īstenota ciešā sadarbībā ar nevalstisko sektoru, nodrošinot sabiedrības līdzdalību politikas veidošanā. Vienlaikus priekšlikumi, kas būtiski ietekmē sektora darbības modeli, ir vērtējami sistēmiski, balstoties uz visaptverošu izvērtējumu, nevis fragmentāri grozot atsevišķas normas. Šobrīd šim nolūkam tiek veikts biedrību un nodibinājumu </w:t>
            </w:r>
            <w:r w:rsidR="007025AA" w:rsidRPr="007025AA">
              <w:lastRenderedPageBreak/>
              <w:t>sektora izvērtējums, kura rezultāti noteiks turpmākos politikas risinājumus.</w:t>
            </w:r>
          </w:p>
          <w:p w14:paraId="58D74DC8" w14:textId="30E04768" w:rsidR="003A1355" w:rsidRDefault="003A1355" w:rsidP="0045454F"/>
        </w:tc>
      </w:tr>
      <w:tr w:rsidR="004E042B" w14:paraId="26C36600" w14:textId="77777777" w:rsidTr="00CA00B0">
        <w:tc>
          <w:tcPr>
            <w:tcW w:w="750" w:type="dxa"/>
            <w:shd w:val="clear" w:color="auto" w:fill="FFFFFF"/>
            <w:noWrap/>
            <w:tcMar>
              <w:top w:w="75" w:type="dxa"/>
              <w:left w:w="75" w:type="dxa"/>
              <w:bottom w:w="75" w:type="dxa"/>
              <w:right w:w="75" w:type="dxa"/>
            </w:tcMar>
          </w:tcPr>
          <w:p w14:paraId="7C9C1A5B" w14:textId="77777777" w:rsidR="004E042B" w:rsidRDefault="008613F6">
            <w:pPr>
              <w:jc w:val="center"/>
            </w:pPr>
            <w:r>
              <w:lastRenderedPageBreak/>
              <w:t>3.</w:t>
            </w:r>
          </w:p>
        </w:tc>
        <w:tc>
          <w:tcPr>
            <w:tcW w:w="3213" w:type="dxa"/>
            <w:shd w:val="clear" w:color="auto" w:fill="FFFFFF"/>
            <w:noWrap/>
            <w:tcMar>
              <w:top w:w="75" w:type="dxa"/>
              <w:left w:w="75" w:type="dxa"/>
              <w:bottom w:w="75" w:type="dxa"/>
              <w:right w:w="75" w:type="dxa"/>
            </w:tcMar>
          </w:tcPr>
          <w:p w14:paraId="0BAC1FE7" w14:textId="12E27654" w:rsidR="004E042B" w:rsidRDefault="00457CE4">
            <w:pPr>
              <w:jc w:val="left"/>
            </w:pPr>
            <w:r>
              <w:t>Biedrība “</w:t>
            </w:r>
            <w:r w:rsidR="008613F6">
              <w:t>Latvijas Pilsoniskā alianse</w:t>
            </w:r>
            <w:r>
              <w:t>”</w:t>
            </w:r>
          </w:p>
        </w:tc>
        <w:tc>
          <w:tcPr>
            <w:tcW w:w="4111" w:type="dxa"/>
            <w:shd w:val="clear" w:color="auto" w:fill="FFFFFF"/>
            <w:noWrap/>
            <w:tcMar>
              <w:top w:w="75" w:type="dxa"/>
              <w:left w:w="75" w:type="dxa"/>
              <w:bottom w:w="75" w:type="dxa"/>
              <w:right w:w="75" w:type="dxa"/>
            </w:tcMar>
            <w:vAlign w:val="center"/>
          </w:tcPr>
          <w:p w14:paraId="6550AAB8" w14:textId="5A2F6B4B" w:rsidR="004E042B" w:rsidRDefault="008613F6" w:rsidP="00887B9D">
            <w:r>
              <w:t xml:space="preserve">Biedrība “Latvijas Pilsoniskā alianse” (turpmāk – LPA) ir iepazinusies ar Finanšu ministrijas </w:t>
            </w:r>
            <w:r>
              <w:lastRenderedPageBreak/>
              <w:t>(turpmāk – FM) izstrādāto likumprojektu “Grozījumi Sabiedriskā labumu organizāciju likumā” (turpmāk – Likumprojekts) un sniedz atzinumu.</w:t>
            </w:r>
            <w:r>
              <w:br/>
            </w:r>
            <w:r>
              <w:br/>
              <w:t xml:space="preserve">1. Aicinām grozīt </w:t>
            </w:r>
            <w:r>
              <w:rPr>
                <w:b/>
              </w:rPr>
              <w:t>Likumprojekta 6. pantu ar 4.</w:t>
            </w:r>
            <w:r w:rsidRPr="003E60F8">
              <w:rPr>
                <w:b/>
                <w:vertAlign w:val="superscript"/>
              </w:rPr>
              <w:t>1</w:t>
            </w:r>
            <w:r>
              <w:rPr>
                <w:b/>
              </w:rPr>
              <w:t xml:space="preserve"> daļu</w:t>
            </w:r>
            <w:r>
              <w:t xml:space="preserve"> un izteikt to šādā redakcijā: </w:t>
            </w:r>
            <w:r w:rsidR="00CE271A">
              <w:t>“</w:t>
            </w:r>
            <w:r>
              <w:rPr>
                <w:b/>
              </w:rPr>
              <w:t>(4</w:t>
            </w:r>
            <w:r w:rsidRPr="003E60F8">
              <w:rPr>
                <w:b/>
                <w:vertAlign w:val="superscript"/>
              </w:rPr>
              <w:t>1</w:t>
            </w:r>
            <w:r>
              <w:rPr>
                <w:b/>
              </w:rPr>
              <w:t>) Komisijas personālsastāvu apstiprina Valsts ieņēmuma dienesta ģenerāldirektors.</w:t>
            </w:r>
            <w:r w:rsidR="00CE271A">
              <w:rPr>
                <w:b/>
              </w:rPr>
              <w:t>”</w:t>
            </w:r>
            <w:r>
              <w:rPr>
                <w:b/>
              </w:rPr>
              <w:t>.</w:t>
            </w:r>
            <w:r>
              <w:br/>
              <w:t xml:space="preserve">Šāds regulējums mazinātu politiskās ietekmes riskus Sabiedriskā labuma komisijas sastāva veidošanā un stiprinātu uzticēšanos komisijas neatkarībai un objektivitātei. Ņemot vērā, ka komisija pieņem lēmumus, kas tieši saistīti ar sabiedriskā labuma organizāciju statusa piešķiršanu, uzraudzību un nodokļu atvieglojumu piemērošanu, būtiski nodrošināt pēc iespējas institucionāli neitrālu pārvaldības modeli. Komisijas personālsastāva apstiprināšanas nodošana kultūras </w:t>
            </w:r>
            <w:r>
              <w:lastRenderedPageBreak/>
              <w:t>ministram radītu risku komisijas darbības politizācijai vai vismaz priekšstatu par iespējamu politisku ietekmi uz tās sastāvu un lēmumiem. Savukārt Valsts ieņēmumu dienests (turpmāk - VID) jau šobrīd ir centrālā institūcija, kas īsteno sabiedriskā labuma organizāciju uzraudzību un administrē ar sabiedriskā labuma statusu saistītos nodokļu atvieglojumus, līdz ar to komisijas sastāva apstiprināšana VID ģenerāldirektora kompetencē būtu sistēmiski atbilstošāks un pārvaldības principiem atbilstošāks risinājums.</w:t>
            </w:r>
            <w:r>
              <w:br/>
            </w:r>
            <w:r>
              <w:br/>
              <w:t>Atsaucoties uz vienošanām, kas jau konceptuāli panāktas 2024. un 2025. gadā ar Finanšu ministriju un Kultūras ministriju, lūdzam papildus izdarīt šādus grozījumus:</w:t>
            </w:r>
            <w:r>
              <w:br/>
            </w:r>
            <w:r>
              <w:br/>
              <w:t xml:space="preserve">2. Aicinām </w:t>
            </w:r>
            <w:r>
              <w:rPr>
                <w:b/>
              </w:rPr>
              <w:t>grozīt Sabiedriskā labuma organizāciju likuma 11. panta otro daļu,</w:t>
            </w:r>
            <w:r>
              <w:t xml:space="preserve"> paredzot, ka par sabiedriskā labuma darbībai </w:t>
            </w:r>
            <w:r>
              <w:lastRenderedPageBreak/>
              <w:t xml:space="preserve">izlietotiem līdzekļiem uzskatāmi arī ieņēmumi no saimnieciskās darbības, kas izmantoti organizācijas darbības nepārtrauktības nodrošināšanai, sociālo pakalpojumu sniegšanai, infrastruktūras uzturēšanai, darbinieku atlīdzībai un citiem ar sabiedriskā labuma mērķu sasniegšanu tieši saistītiem izdevumiem, izsakot to šādā redakcijā: </w:t>
            </w:r>
            <w:r>
              <w:rPr>
                <w:b/>
              </w:rPr>
              <w:t xml:space="preserve">“Ja sabiedriskā labuma organizācijas saņemto ziedojumu kopsumma kalendārajā gadā pārsniedz 12 minimālās mēneša darba algas, šai organizācijai ir pienākums ne mazāk kā 75 procentus no šīs kopsummas, ko veido attiecīgajā kalendārajā gadā izlietotie ziedojumi un ieņēmumi no tās saimnieciskās darbības, kurai piemēro nodokļu atvieglojumus, izlietot tai sabiedriskā labuma darbības jomai, kura minēta lēmumā par sabiedriskā labuma organizācijas statusa piešķiršanu attiecīgajai organizācijai, tai </w:t>
            </w:r>
            <w:r>
              <w:rPr>
                <w:b/>
              </w:rPr>
              <w:lastRenderedPageBreak/>
              <w:t>skaitā organizācijas darbības nepārtrauktības nodrošināšanai, sociālo pakalpojumu sniegšanai, infrastruktūras uzturēšanai, darbinieku atlīdzībai un citiem ar sabiedriskā labuma mērķu sasniegšanu tieši saistītiem izdevumiem.”</w:t>
            </w:r>
            <w:r>
              <w:br/>
              <w:t xml:space="preserve">Pašreizējais regulējums paredz stingras prasības attiecībā uz ziedojumu un saimnieciskās darbības ieņēmumu izlietojumu, radot neskaidrības par normu interpretāciju un piemērošanu praksē. Tas apgrūtina organizāciju spēju elastīgi nodrošināt sociālos pakalpojumus un rada riskus sabiedriskā labuma statusa saglabāšanai. Īpaši problemātiski tas ir sociālo pakalpojumu sniedzējiem, kuru darbība bieži balstās uz dažādu finansējuma avotu kombinēšanu un ilgtermiņa finanšu plānošanu. Ņemot vērā pastāvošo tiesisko nenoteiktību un iespējamos atšķirīgos normu interpretācijas riskus, nepieciešams steidzamības kārtā pārskatīt un </w:t>
            </w:r>
            <w:r>
              <w:lastRenderedPageBreak/>
              <w:t>precizēt regulējumu, skaidri nosakot saimnieciskās darbības ieņēmumu izlietošanas principus sabiedriskā labuma organizācijām.</w:t>
            </w:r>
            <w:r>
              <w:br/>
            </w:r>
            <w:r>
              <w:br/>
              <w:t xml:space="preserve">3. Aicinām </w:t>
            </w:r>
            <w:r>
              <w:rPr>
                <w:b/>
              </w:rPr>
              <w:t>papildināt Sabiedriskā labuma organizāciju likuma 6. pantu ar jaunu daļu</w:t>
            </w:r>
            <w:r>
              <w:t xml:space="preserve"> šādā redakcijā:</w:t>
            </w:r>
            <w:r>
              <w:rPr>
                <w:b/>
              </w:rPr>
              <w:t xml:space="preserve"> “Sabiedriskā labuma komisijas locekļiem, kuri pārstāv biedrības un nodibinājumus, par dalību komisijas darbā ir tiesības saņemt atlīdzību. Ministru kabinets nosaka Sabiedriskā labuma komisijas locekļu atlīdzības apmēru un izmaksas kārtību”.</w:t>
            </w:r>
            <w:r>
              <w:br/>
              <w:t xml:space="preserve">Sabiedriskā labuma komisijas darbība ietver profesionālu un atbildīgu lēmumu pieņemšanu ar tiešu ietekmi uz organizāciju sabiedriskā labuma statusu, uzraudzību un nodokļu atvieglojumu piemērošanu, kas praksē prasa regulāru iesaisti, augstu kompetenci un būtisku laika ieguldījumu. Vienlaikus biedrību </w:t>
            </w:r>
            <w:r>
              <w:lastRenderedPageBreak/>
              <w:t xml:space="preserve">un nodibinājumu pārstāvju dalība komisijas darbā šobrīd pārsvarā tiek nodrošināta bez atlīdzības, radot risku, ka pilnvērtīgi iesaistīties iespējams tikai ierobežotam personu lokam ar pietiekamiem neatkarīgiem resursiem. Tas var negatīvi ietekmēt pārstāvības daudzveidību un pilsoniskās sabiedrības ekspertīzes pieejamību komisijas darbā. Atlīdzības mehānisma paredzēšana veicinātu vienlīdzīgākus iesaistes nosacījumus starp publiskā sektora un biedrību un nodibinājumu pārstāvjiem, stiprinātu komisijas darba ilgtspēju un profesionalitāti, kā arī nodrošinātu konsekvenci ar labas pārvaldības principiem. Jāuzsver, ka līdzīga pieeja jau ir ieviesta arī citos līdzdalības mehānismos, tostarp Sabiedrības integrācijas fonda padomē, kur padomes locekļu darbs, kas pārstāv biedrības un nodibinājums, tiek atlīdzināts, tādējādi nodrošinot līdzsvarotu un profesionālu </w:t>
            </w:r>
            <w:r>
              <w:lastRenderedPageBreak/>
              <w:t>līdzdalību lēmumu pieņemšanas procesā.</w:t>
            </w:r>
            <w:r>
              <w:br/>
            </w:r>
          </w:p>
        </w:tc>
        <w:tc>
          <w:tcPr>
            <w:tcW w:w="2410" w:type="dxa"/>
            <w:shd w:val="clear" w:color="auto" w:fill="FFFFFF"/>
            <w:noWrap/>
            <w:tcMar>
              <w:top w:w="75" w:type="dxa"/>
              <w:left w:w="75" w:type="dxa"/>
              <w:bottom w:w="75" w:type="dxa"/>
              <w:right w:w="75" w:type="dxa"/>
            </w:tcMar>
          </w:tcPr>
          <w:p w14:paraId="62B251D3" w14:textId="4662BD74" w:rsidR="003E60F8" w:rsidRPr="00F03559" w:rsidRDefault="003E60F8" w:rsidP="00F03559">
            <w:pPr>
              <w:jc w:val="left"/>
              <w:rPr>
                <w:b/>
                <w:bCs/>
              </w:rPr>
            </w:pPr>
            <w:r>
              <w:rPr>
                <w:b/>
                <w:bCs/>
              </w:rPr>
              <w:lastRenderedPageBreak/>
              <w:t>Nav</w:t>
            </w:r>
            <w:r w:rsidR="00F03559" w:rsidRPr="00F03559">
              <w:rPr>
                <w:b/>
                <w:bCs/>
              </w:rPr>
              <w:t xml:space="preserve"> ņemts vērā</w:t>
            </w:r>
          </w:p>
        </w:tc>
        <w:tc>
          <w:tcPr>
            <w:tcW w:w="4083" w:type="dxa"/>
            <w:shd w:val="clear" w:color="auto" w:fill="FFFFFF"/>
            <w:noWrap/>
            <w:tcMar>
              <w:top w:w="75" w:type="dxa"/>
              <w:left w:w="75" w:type="dxa"/>
              <w:bottom w:w="75" w:type="dxa"/>
              <w:right w:w="75" w:type="dxa"/>
            </w:tcMar>
          </w:tcPr>
          <w:p w14:paraId="2B6B6270" w14:textId="3F712B0D" w:rsidR="00C86BAB" w:rsidRPr="00C86BAB" w:rsidRDefault="00DB0889" w:rsidP="00887B9D">
            <w:r>
              <w:t xml:space="preserve">LPA </w:t>
            </w:r>
            <w:r w:rsidR="00C4385D">
              <w:t xml:space="preserve">priekšlikums </w:t>
            </w:r>
            <w:r w:rsidR="00A97E47">
              <w:t xml:space="preserve">Nr.1 </w:t>
            </w:r>
            <w:r w:rsidR="00C4385D">
              <w:t>nav atbalstāms</w:t>
            </w:r>
            <w:r w:rsidR="005F5697">
              <w:t xml:space="preserve">. </w:t>
            </w:r>
            <w:r w:rsidR="005E2C0C">
              <w:t>P</w:t>
            </w:r>
            <w:r w:rsidR="00CF46DA" w:rsidRPr="00CF46DA">
              <w:t xml:space="preserve">riekšlikuma mērķis ir mazināt politiskās ietekmes risku </w:t>
            </w:r>
            <w:r w:rsidR="00CF46DA" w:rsidRPr="00CF46DA">
              <w:lastRenderedPageBreak/>
              <w:t xml:space="preserve">komisijas veidošanā, </w:t>
            </w:r>
            <w:r>
              <w:t xml:space="preserve">tomēr </w:t>
            </w:r>
            <w:r w:rsidR="00CF46DA" w:rsidRPr="00CF46DA">
              <w:t xml:space="preserve">tas neatrisina – un faktiski pastiprina – institucionālās neitralitātes risku, jo VID vienlaikus ir gan </w:t>
            </w:r>
            <w:r w:rsidR="00470101">
              <w:t>SLO</w:t>
            </w:r>
            <w:r w:rsidR="00CF46DA" w:rsidRPr="00CF46DA">
              <w:t xml:space="preserve"> uzraudzības īstenotājs un nodokļu atvieglojumu administrētājs, gan iestāde, kas pieņem gala administratīvos lēmumus par statusa piešķiršanu/atteikumu/atņemšanu, kamēr </w:t>
            </w:r>
            <w:r w:rsidR="00A63698">
              <w:t xml:space="preserve">sabiedriskā labuma </w:t>
            </w:r>
            <w:r w:rsidR="00CF46DA" w:rsidRPr="00CF46DA">
              <w:t xml:space="preserve">komisija sniedz VID motivētu atzinumu par </w:t>
            </w:r>
            <w:r w:rsidR="00B41505">
              <w:t>organizācijas</w:t>
            </w:r>
            <w:r w:rsidR="00CF46DA" w:rsidRPr="00CF46DA">
              <w:t xml:space="preserve"> atbilstību sabiedriskā labuma darbības būtībai un līdzekļu izlietojumam. </w:t>
            </w:r>
            <w:r w:rsidR="005E2C0C">
              <w:t xml:space="preserve">Lai neradītu </w:t>
            </w:r>
            <w:r w:rsidR="005E2C0C" w:rsidRPr="00CF46DA">
              <w:t xml:space="preserve">šaubas par </w:t>
            </w:r>
            <w:r w:rsidR="005E2C0C">
              <w:t xml:space="preserve">pieņemto </w:t>
            </w:r>
            <w:r w:rsidR="005E2C0C" w:rsidRPr="00CF46DA">
              <w:t>lēmumu neitralitāti</w:t>
            </w:r>
            <w:r w:rsidR="005E2C0C">
              <w:t xml:space="preserve">, </w:t>
            </w:r>
            <w:r w:rsidR="000237C8">
              <w:t>l</w:t>
            </w:r>
            <w:r w:rsidR="00C86BAB">
              <w:t>ikumprojektā noteiktais</w:t>
            </w:r>
            <w:r w:rsidR="00C86BAB" w:rsidRPr="00C86BAB">
              <w:t xml:space="preserve"> regulējums nodrošina institucionālo līdzsvaru starp lēmuma pieņēmēju un konsultatīvo institūciju, kas ir būtiski objektivitātes un uzticēšanās nodrošināšanai.</w:t>
            </w:r>
          </w:p>
          <w:p w14:paraId="451171FD" w14:textId="77777777" w:rsidR="006E4A3A" w:rsidRDefault="006E4A3A" w:rsidP="00887B9D"/>
          <w:p w14:paraId="7ADDDD7E" w14:textId="1857F15D" w:rsidR="00B329F1" w:rsidRPr="00B329F1" w:rsidRDefault="00434075" w:rsidP="00B329F1">
            <w:r w:rsidRPr="00434075">
              <w:t xml:space="preserve">Attiecībā uz priekšlikumu Nr.2 un Nr.3 par 75% regulējuma pārskatīšanu un Sabiedriskā labuma komisijas locekļu </w:t>
            </w:r>
            <w:r w:rsidRPr="00434075">
              <w:lastRenderedPageBreak/>
              <w:t>atlīdzības noteikšanu norādām, ka šie jautājumi ir skatāmi sabiedriskā labuma sektora kopējo reformu ietvaros. Likumprojekta “Grozījumi Sabiedriskā labuma organizāciju likumā” (TAP Nr. 22</w:t>
            </w:r>
            <w:r w:rsidRPr="00434075">
              <w:noBreakHyphen/>
              <w:t>TA</w:t>
            </w:r>
            <w:r w:rsidRPr="00434075">
              <w:noBreakHyphen/>
              <w:t>3618) virzība ir apturēta, vienlaikus uzsākot visaptverošu biedrību un nodibinājumu sektora izvērtējumu, kura rezultāti kalpos par pamatu turpmākajiem normatīvā regulējuma risinājumiem.</w:t>
            </w:r>
            <w:r w:rsidR="00425714">
              <w:t xml:space="preserve"> </w:t>
            </w:r>
            <w:r w:rsidR="00B329F1" w:rsidRPr="00B329F1">
              <w:t>Sabiedriskā labuma jomas regulējuma pilnveide tiek īstenota sadarbībā ar nevalstisko sektoru, nodrošinot sabiedrības līdzdalību politikas veidošanā.</w:t>
            </w:r>
          </w:p>
          <w:p w14:paraId="6DF9E497" w14:textId="7E0D9E04" w:rsidR="006E4A3A" w:rsidRDefault="002D4381" w:rsidP="00434075">
            <w:r w:rsidRPr="002D4381">
              <w:t>Papildus norādāms, ka šobrīd, ņemot vērā valsts budžeta ierobežotās iespējas un budžeta līdzekļu taupības principu, kā arī valdības noteiktās prioritātes – valsts drošības un aizsardzības stiprināšanu –, jaunu pastāvīgu izdevumu, tostarp atlīdzības mehānismu ieviešana</w:t>
            </w:r>
            <w:r w:rsidR="00970E61">
              <w:t>,</w:t>
            </w:r>
            <w:r w:rsidRPr="002D4381">
              <w:t xml:space="preserve"> netiek plānota.</w:t>
            </w:r>
          </w:p>
        </w:tc>
      </w:tr>
      <w:tr w:rsidR="004E042B" w14:paraId="76524D79" w14:textId="77777777" w:rsidTr="00223611">
        <w:tc>
          <w:tcPr>
            <w:tcW w:w="750" w:type="dxa"/>
            <w:shd w:val="clear" w:color="auto" w:fill="FFFFFF"/>
            <w:noWrap/>
            <w:tcMar>
              <w:top w:w="75" w:type="dxa"/>
              <w:left w:w="75" w:type="dxa"/>
              <w:bottom w:w="75" w:type="dxa"/>
              <w:right w:w="75" w:type="dxa"/>
            </w:tcMar>
          </w:tcPr>
          <w:p w14:paraId="312CCC44" w14:textId="77777777" w:rsidR="004E042B" w:rsidRDefault="008613F6">
            <w:pPr>
              <w:jc w:val="center"/>
            </w:pPr>
            <w:r>
              <w:lastRenderedPageBreak/>
              <w:t>4.</w:t>
            </w:r>
          </w:p>
        </w:tc>
        <w:tc>
          <w:tcPr>
            <w:tcW w:w="3213" w:type="dxa"/>
            <w:shd w:val="clear" w:color="auto" w:fill="FFFFFF"/>
            <w:noWrap/>
            <w:tcMar>
              <w:top w:w="75" w:type="dxa"/>
              <w:left w:w="75" w:type="dxa"/>
              <w:bottom w:w="75" w:type="dxa"/>
              <w:right w:w="75" w:type="dxa"/>
            </w:tcMar>
          </w:tcPr>
          <w:p w14:paraId="1EA5245F" w14:textId="199CF137" w:rsidR="004E042B" w:rsidRDefault="00C566F2">
            <w:pPr>
              <w:jc w:val="left"/>
            </w:pPr>
            <w:r>
              <w:t xml:space="preserve">Biedrība </w:t>
            </w:r>
            <w:r w:rsidR="008613F6">
              <w:t xml:space="preserve">r.a. </w:t>
            </w:r>
            <w:r>
              <w:t>“</w:t>
            </w:r>
            <w:r w:rsidR="008613F6">
              <w:t>Siltumnīca</w:t>
            </w:r>
            <w:r>
              <w:t>”</w:t>
            </w:r>
          </w:p>
        </w:tc>
        <w:tc>
          <w:tcPr>
            <w:tcW w:w="4111" w:type="dxa"/>
            <w:shd w:val="clear" w:color="auto" w:fill="FFFFFF"/>
            <w:noWrap/>
            <w:tcMar>
              <w:top w:w="75" w:type="dxa"/>
              <w:left w:w="75" w:type="dxa"/>
              <w:bottom w:w="75" w:type="dxa"/>
              <w:right w:w="75" w:type="dxa"/>
            </w:tcMar>
            <w:vAlign w:val="center"/>
          </w:tcPr>
          <w:p w14:paraId="407117EB" w14:textId="77777777" w:rsidR="004E042B" w:rsidRDefault="008613F6" w:rsidP="00887B9D">
            <w:r>
              <w:t>Par projektu 25-TA-2976 “Grozījumi Sabiedriskā labuma organizāciju likumā” tiek izteikti šādi iebildumi un priekšlikumi:</w:t>
            </w:r>
            <w:r>
              <w:br/>
              <w:t>Pāreja uz EDS ir saprotama, jo likumā “Par nodokļiem un nodevām” jau ir noteikts, ka VID administratīvie akti, lēmumi, dokumenti un informācija nodokļu maksātājam, kurš ir EDS lietotājs, tiek paziņoti EDS, un tie uzskatāmi par paziņotiem otrajā darba dienā pēc ievietošanas EDS.</w:t>
            </w:r>
            <w:r>
              <w:br/>
              <w:t xml:space="preserve">Tomēr SLO nav tikai nodokļu maksātājs parastā nozīmē. SLO statuss ir publiski tiesisks statuss ar ietekmi uz ziedotājiem, reputāciju, finansējuma piesaisti un sabiedrības uzticēšanos. Tādēļ nepietiek vienkārši pateikt, ka viss notiek EDS. Likumā būtu precīzi jānosaka, kurā brīdī statuss tiek piešķirts, atteikts vai atņemts, kā tas atspoguļojas publiskajā reģistrā un </w:t>
            </w:r>
            <w:r>
              <w:lastRenderedPageBreak/>
              <w:t>kā tiek aizsargāta trešo personu, īpaši ziedotāju, labticība.</w:t>
            </w:r>
            <w:r>
              <w:br/>
              <w:t>Likumprojekts svītro pašreizējās normas, kas paredzēja statusa piešķiršanas vai atņemšanas saistību ar lēmuma publicēšanu vai nosūtīšanu, bet nepietiekami skaidri aizstāj tās ar jaunu spēkā stāšanās kārtību.</w:t>
            </w:r>
            <w:r>
              <w:br/>
              <w:t>Likumā jāparedz, ka lēmums attiecībā pret organizāciju stājas spēkā pēc paziņošanas EDS, bet attiecībā pret trešajām personām būtiska nozīme ir SLO reģistra ieraksta aktualizēšanai. Papildus jānosaka, ka ziedotājs, kurš paļāvies uz publiskajā SLO reģistrā norādīto statusu, ir aizsargājams, ja reģistrs nav savlaicīgi aktualizēts.</w:t>
            </w:r>
          </w:p>
        </w:tc>
        <w:tc>
          <w:tcPr>
            <w:tcW w:w="2410" w:type="dxa"/>
            <w:shd w:val="clear" w:color="auto" w:fill="FFFFFF"/>
            <w:noWrap/>
            <w:tcMar>
              <w:top w:w="75" w:type="dxa"/>
              <w:left w:w="75" w:type="dxa"/>
              <w:bottom w:w="75" w:type="dxa"/>
              <w:right w:w="75" w:type="dxa"/>
            </w:tcMar>
          </w:tcPr>
          <w:p w14:paraId="4DAF702E" w14:textId="671646C1" w:rsidR="004E042B" w:rsidRPr="00007997" w:rsidRDefault="00E51C82">
            <w:pPr>
              <w:jc w:val="left"/>
              <w:rPr>
                <w:b/>
                <w:bCs/>
              </w:rPr>
            </w:pPr>
            <w:r>
              <w:rPr>
                <w:b/>
                <w:bCs/>
              </w:rPr>
              <w:lastRenderedPageBreak/>
              <w:t>Daļēji ņ</w:t>
            </w:r>
            <w:r w:rsidR="00007997" w:rsidRPr="00007997">
              <w:rPr>
                <w:b/>
                <w:bCs/>
              </w:rPr>
              <w:t>emts vērā</w:t>
            </w:r>
          </w:p>
        </w:tc>
        <w:tc>
          <w:tcPr>
            <w:tcW w:w="4083" w:type="dxa"/>
            <w:shd w:val="clear" w:color="auto" w:fill="FFFFFF"/>
            <w:noWrap/>
            <w:tcMar>
              <w:top w:w="75" w:type="dxa"/>
              <w:left w:w="75" w:type="dxa"/>
              <w:bottom w:w="75" w:type="dxa"/>
              <w:right w:w="75" w:type="dxa"/>
            </w:tcMar>
            <w:vAlign w:val="center"/>
          </w:tcPr>
          <w:p w14:paraId="7C5A60CC" w14:textId="308C1A7A" w:rsidR="002F24A3" w:rsidRPr="008C04C2" w:rsidRDefault="002F24A3" w:rsidP="002F24A3">
            <w:r>
              <w:t>Atbilstoši izteiktajam priekšlikumam, l</w:t>
            </w:r>
            <w:r w:rsidRPr="008C04C2">
              <w:t>ikumprojekt</w:t>
            </w:r>
            <w:r>
              <w:t>ā</w:t>
            </w:r>
            <w:r w:rsidRPr="008C04C2">
              <w:t xml:space="preserve"> precizē</w:t>
            </w:r>
            <w:r>
              <w:t>ta</w:t>
            </w:r>
            <w:r w:rsidRPr="008C04C2">
              <w:t xml:space="preserve"> lēmuma stāšanās spēkā sasaist</w:t>
            </w:r>
            <w:r>
              <w:t>e</w:t>
            </w:r>
            <w:r w:rsidRPr="008C04C2">
              <w:t xml:space="preserve"> ar ieraksta izdarīšanu Sabiedriskā labuma organizāciju reģistrā, tādējādi nodrošinot skaidru un vienotu tiesisko regulējumu.</w:t>
            </w:r>
          </w:p>
          <w:p w14:paraId="475FD80A" w14:textId="3605BF54" w:rsidR="00414103" w:rsidRDefault="00811203" w:rsidP="00887B9D">
            <w:r>
              <w:t xml:space="preserve">Precizēts </w:t>
            </w:r>
            <w:r w:rsidR="00AB34D2">
              <w:t>l</w:t>
            </w:r>
            <w:r w:rsidR="00007997">
              <w:t>ikumprojekts</w:t>
            </w:r>
            <w:r w:rsidR="00C079E6">
              <w:t>, papildinot</w:t>
            </w:r>
            <w:r w:rsidR="00414103">
              <w:t xml:space="preserve"> 5. </w:t>
            </w:r>
            <w:r w:rsidR="00C079E6">
              <w:t xml:space="preserve">pantu </w:t>
            </w:r>
            <w:r w:rsidR="00414103">
              <w:t xml:space="preserve">ar </w:t>
            </w:r>
            <w:r w:rsidR="009C0F51">
              <w:t>otro</w:t>
            </w:r>
            <w:r w:rsidR="00414103">
              <w:t xml:space="preserve"> daļu šādā redakcijā:</w:t>
            </w:r>
          </w:p>
          <w:p w14:paraId="7BE2F94E" w14:textId="77777777" w:rsidR="00510E57" w:rsidRDefault="00C566F2" w:rsidP="00510E57">
            <w:r>
              <w:t>“</w:t>
            </w:r>
            <w:r w:rsidR="00414103">
              <w:t>(2) Ierakstu Sabiedriskā labuma organizāciju reģistrā par sabiedriskā labuma organizācijas statusa piešķiršanu vai atņemšanu Valsts ieņēmumu dienests izdara dienā, kad attiecīgais Valsts ieņēmumu dienesta lēmums stājas spēkā</w:t>
            </w:r>
            <w:r w:rsidR="008D1AEE">
              <w:t>.</w:t>
            </w:r>
            <w:r>
              <w:t>”</w:t>
            </w:r>
            <w:r w:rsidR="0077024C">
              <w:t xml:space="preserve">. </w:t>
            </w:r>
          </w:p>
          <w:p w14:paraId="0007589C" w14:textId="09E07B36" w:rsidR="00510E57" w:rsidRPr="006E4A3A" w:rsidRDefault="00510E57" w:rsidP="00510E57">
            <w:r>
              <w:t xml:space="preserve">Attiecībā uz </w:t>
            </w:r>
            <w:r w:rsidR="00325895">
              <w:t xml:space="preserve">pieņemto lēmumu </w:t>
            </w:r>
            <w:r>
              <w:t xml:space="preserve">spēkā stāšanos, lūdzam skatīt skaidrojumu </w:t>
            </w:r>
            <w:r w:rsidR="00325895">
              <w:t>2</w:t>
            </w:r>
            <w:r>
              <w:t>.punktā,</w:t>
            </w:r>
            <w:r w:rsidR="00325895">
              <w:t xml:space="preserve"> </w:t>
            </w:r>
            <w:r>
              <w:t>kas sniegts biedrībai “</w:t>
            </w:r>
            <w:r w:rsidR="00325895">
              <w:t>Vidusdaugavas NVO centrs</w:t>
            </w:r>
            <w:r>
              <w:t>”.</w:t>
            </w:r>
          </w:p>
          <w:p w14:paraId="44A876D5" w14:textId="34DF124B" w:rsidR="00F724B2" w:rsidRDefault="00F724B2" w:rsidP="00887B9D"/>
          <w:p w14:paraId="5E6F7E6F" w14:textId="41EA0F3C" w:rsidR="00E51C82" w:rsidRDefault="00E51C82" w:rsidP="00887B9D">
            <w:r w:rsidRPr="00E51C82">
              <w:lastRenderedPageBreak/>
              <w:t xml:space="preserve">Priekšlikums </w:t>
            </w:r>
            <w:r>
              <w:t xml:space="preserve">par </w:t>
            </w:r>
            <w:r w:rsidRPr="00E51C82">
              <w:t xml:space="preserve">trešo personu (ziedotāju) aizsardzību nav </w:t>
            </w:r>
            <w:r w:rsidR="00811203">
              <w:t>atbalstāms</w:t>
            </w:r>
            <w:r w:rsidR="004D6559">
              <w:t>.</w:t>
            </w:r>
            <w:r w:rsidRPr="00E51C82">
              <w:t xml:space="preserve"> </w:t>
            </w:r>
            <w:r w:rsidR="00006489">
              <w:t xml:space="preserve">Princips, ka </w:t>
            </w:r>
            <w:r w:rsidR="00006489" w:rsidRPr="00E51C82">
              <w:t>iestādes rīcība/kļūda nevar radīt nelabvēlīgas sekas</w:t>
            </w:r>
            <w:r w:rsidR="00006489">
              <w:t xml:space="preserve"> p</w:t>
            </w:r>
            <w:r w:rsidR="00006489" w:rsidRPr="00E51C82">
              <w:t>rivātperson</w:t>
            </w:r>
            <w:r w:rsidR="00006489">
              <w:t>ai,</w:t>
            </w:r>
            <w:r w:rsidR="00006489" w:rsidRPr="00E51C82">
              <w:t xml:space="preserve"> </w:t>
            </w:r>
            <w:r w:rsidRPr="00E51C82">
              <w:t xml:space="preserve"> izriet no </w:t>
            </w:r>
            <w:r w:rsidR="000C78FD">
              <w:t xml:space="preserve">Administratīvā procesa likumā </w:t>
            </w:r>
            <w:r w:rsidR="008035D8">
              <w:t>nostiprināt</w:t>
            </w:r>
            <w:r w:rsidR="00A61FE1">
              <w:t>ā tiesiskās paļāvības principa.</w:t>
            </w:r>
            <w:r w:rsidR="00B84A62">
              <w:t xml:space="preserve"> S</w:t>
            </w:r>
            <w:r w:rsidR="00B84A62" w:rsidRPr="00400699">
              <w:t>avukārt pienākums iestādei pašai iegūt nepieciešamo informāciju, ja tā ir citas institūcijas rīcībā, izriet no Valsts pārvaldes iekārtas likuma 10. panta astotās daļas</w:t>
            </w:r>
            <w:r w:rsidR="00B84A62">
              <w:t>.</w:t>
            </w:r>
          </w:p>
        </w:tc>
      </w:tr>
    </w:tbl>
    <w:p w14:paraId="4E732367" w14:textId="77777777" w:rsidR="004E042B" w:rsidRDefault="004E042B"/>
    <w:tbl>
      <w:tblPr>
        <w:tblStyle w:val="a"/>
        <w:tblW w:w="14567" w:type="dxa"/>
        <w:tblLayout w:type="fixed"/>
        <w:tblLook w:val="0600" w:firstRow="0" w:lastRow="0" w:firstColumn="0" w:lastColumn="0" w:noHBand="1" w:noVBand="1"/>
      </w:tblPr>
      <w:tblGrid>
        <w:gridCol w:w="4855"/>
        <w:gridCol w:w="4856"/>
        <w:gridCol w:w="4856"/>
      </w:tblGrid>
      <w:tr w:rsidR="004E042B" w14:paraId="2A43D4F7" w14:textId="77777777">
        <w:tc>
          <w:tcPr>
            <w:tcW w:w="4855" w:type="dxa"/>
            <w:shd w:val="clear" w:color="auto" w:fill="FFFFFF"/>
            <w:noWrap/>
            <w:tcMar>
              <w:top w:w="75" w:type="dxa"/>
              <w:left w:w="75" w:type="dxa"/>
              <w:bottom w:w="75" w:type="dxa"/>
              <w:right w:w="75" w:type="dxa"/>
            </w:tcMar>
            <w:vAlign w:val="center"/>
          </w:tcPr>
          <w:p w14:paraId="3221F76B" w14:textId="77777777" w:rsidR="004E042B" w:rsidRDefault="008613F6">
            <w:pPr>
              <w:jc w:val="left"/>
            </w:pPr>
            <w:r>
              <w:t>Datums**</w:t>
            </w:r>
          </w:p>
        </w:tc>
        <w:tc>
          <w:tcPr>
            <w:tcW w:w="4856" w:type="dxa"/>
            <w:shd w:val="clear" w:color="auto" w:fill="FFFFFF"/>
            <w:noWrap/>
            <w:tcMar>
              <w:top w:w="75" w:type="dxa"/>
              <w:left w:w="75" w:type="dxa"/>
              <w:bottom w:w="75" w:type="dxa"/>
              <w:right w:w="75" w:type="dxa"/>
            </w:tcMar>
            <w:vAlign w:val="center"/>
          </w:tcPr>
          <w:p w14:paraId="5C1D84E8" w14:textId="77777777" w:rsidR="004E042B" w:rsidRDefault="004E042B">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7380AB98" w14:textId="77777777" w:rsidR="004E042B" w:rsidRDefault="004E042B"/>
        </w:tc>
      </w:tr>
      <w:tr w:rsidR="004E042B" w14:paraId="152D7C4D" w14:textId="77777777">
        <w:tc>
          <w:tcPr>
            <w:tcW w:w="4855" w:type="dxa"/>
            <w:shd w:val="clear" w:color="auto" w:fill="FFFFFF"/>
            <w:noWrap/>
            <w:tcMar>
              <w:top w:w="75" w:type="dxa"/>
              <w:left w:w="75" w:type="dxa"/>
              <w:bottom w:w="75" w:type="dxa"/>
              <w:right w:w="75" w:type="dxa"/>
            </w:tcMar>
            <w:vAlign w:val="center"/>
          </w:tcPr>
          <w:p w14:paraId="074DCD31" w14:textId="77777777" w:rsidR="004E042B" w:rsidRDefault="004E042B"/>
        </w:tc>
        <w:tc>
          <w:tcPr>
            <w:tcW w:w="4856" w:type="dxa"/>
            <w:shd w:val="clear" w:color="auto" w:fill="FFFFFF"/>
            <w:noWrap/>
            <w:tcMar>
              <w:top w:w="75" w:type="dxa"/>
              <w:left w:w="75" w:type="dxa"/>
              <w:bottom w:w="75" w:type="dxa"/>
              <w:right w:w="75" w:type="dxa"/>
            </w:tcMar>
            <w:vAlign w:val="center"/>
          </w:tcPr>
          <w:p w14:paraId="4EC592E3" w14:textId="77777777" w:rsidR="004E042B" w:rsidRDefault="008613F6">
            <w:pPr>
              <w:jc w:val="center"/>
            </w:pPr>
            <w:r>
              <w:t>(dd.mm.gggg)</w:t>
            </w:r>
          </w:p>
        </w:tc>
        <w:tc>
          <w:tcPr>
            <w:tcW w:w="4856" w:type="dxa"/>
            <w:shd w:val="clear" w:color="auto" w:fill="FFFFFF"/>
            <w:noWrap/>
            <w:tcMar>
              <w:top w:w="75" w:type="dxa"/>
              <w:left w:w="75" w:type="dxa"/>
              <w:bottom w:w="75" w:type="dxa"/>
              <w:right w:w="75" w:type="dxa"/>
            </w:tcMar>
            <w:vAlign w:val="center"/>
          </w:tcPr>
          <w:p w14:paraId="0CA0F040" w14:textId="77777777" w:rsidR="004E042B" w:rsidRDefault="004E042B"/>
        </w:tc>
      </w:tr>
      <w:tr w:rsidR="004E042B" w14:paraId="6648014C" w14:textId="77777777">
        <w:tc>
          <w:tcPr>
            <w:tcW w:w="4855" w:type="dxa"/>
            <w:shd w:val="clear" w:color="auto" w:fill="FFFFFF"/>
            <w:noWrap/>
            <w:tcMar>
              <w:top w:w="75" w:type="dxa"/>
              <w:left w:w="75" w:type="dxa"/>
              <w:bottom w:w="75" w:type="dxa"/>
              <w:right w:w="75" w:type="dxa"/>
            </w:tcMar>
            <w:vAlign w:val="center"/>
          </w:tcPr>
          <w:p w14:paraId="0D066088" w14:textId="77777777" w:rsidR="004E042B" w:rsidRDefault="008613F6">
            <w:pPr>
              <w:jc w:val="left"/>
            </w:pPr>
            <w:r>
              <w:t>Atbildīgā persona</w:t>
            </w:r>
          </w:p>
        </w:tc>
        <w:tc>
          <w:tcPr>
            <w:tcW w:w="4856" w:type="dxa"/>
            <w:shd w:val="clear" w:color="auto" w:fill="FFFFFF"/>
            <w:noWrap/>
            <w:tcMar>
              <w:top w:w="75" w:type="dxa"/>
              <w:left w:w="75" w:type="dxa"/>
              <w:bottom w:w="75" w:type="dxa"/>
              <w:right w:w="75" w:type="dxa"/>
            </w:tcMar>
            <w:vAlign w:val="center"/>
          </w:tcPr>
          <w:p w14:paraId="48B1EA9E" w14:textId="77777777" w:rsidR="004E042B" w:rsidRDefault="004E042B">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6C82857D" w14:textId="77777777" w:rsidR="004E042B" w:rsidRDefault="004E042B"/>
        </w:tc>
      </w:tr>
      <w:tr w:rsidR="004E042B" w14:paraId="4F807CE5" w14:textId="77777777">
        <w:tc>
          <w:tcPr>
            <w:tcW w:w="4855" w:type="dxa"/>
            <w:shd w:val="clear" w:color="auto" w:fill="FFFFFF"/>
            <w:noWrap/>
            <w:tcMar>
              <w:top w:w="75" w:type="dxa"/>
              <w:left w:w="75" w:type="dxa"/>
              <w:bottom w:w="75" w:type="dxa"/>
              <w:right w:w="75" w:type="dxa"/>
            </w:tcMar>
            <w:vAlign w:val="center"/>
          </w:tcPr>
          <w:p w14:paraId="7366A83B" w14:textId="77777777" w:rsidR="004E042B" w:rsidRDefault="004E042B"/>
        </w:tc>
        <w:tc>
          <w:tcPr>
            <w:tcW w:w="4856" w:type="dxa"/>
            <w:shd w:val="clear" w:color="auto" w:fill="FFFFFF"/>
            <w:noWrap/>
            <w:tcMar>
              <w:top w:w="75" w:type="dxa"/>
              <w:left w:w="75" w:type="dxa"/>
              <w:bottom w:w="75" w:type="dxa"/>
              <w:right w:w="75" w:type="dxa"/>
            </w:tcMar>
            <w:vAlign w:val="center"/>
          </w:tcPr>
          <w:p w14:paraId="4450E7A7" w14:textId="77777777" w:rsidR="004E042B" w:rsidRDefault="008613F6">
            <w:pPr>
              <w:jc w:val="center"/>
            </w:pPr>
            <w:r>
              <w:t>(vārds, uzvārds, paraksts**)</w:t>
            </w:r>
          </w:p>
        </w:tc>
        <w:tc>
          <w:tcPr>
            <w:tcW w:w="4856" w:type="dxa"/>
            <w:shd w:val="clear" w:color="auto" w:fill="FFFFFF"/>
            <w:noWrap/>
            <w:tcMar>
              <w:top w:w="75" w:type="dxa"/>
              <w:left w:w="75" w:type="dxa"/>
              <w:bottom w:w="75" w:type="dxa"/>
              <w:right w:w="75" w:type="dxa"/>
            </w:tcMar>
            <w:vAlign w:val="center"/>
          </w:tcPr>
          <w:p w14:paraId="6ED3D432" w14:textId="77777777" w:rsidR="004E042B" w:rsidRDefault="004E042B"/>
        </w:tc>
      </w:tr>
    </w:tbl>
    <w:p w14:paraId="0F444B6A" w14:textId="77777777" w:rsidR="004E042B" w:rsidRDefault="004E042B"/>
    <w:p w14:paraId="4A0DDC67" w14:textId="77777777" w:rsidR="004E042B" w:rsidRDefault="008613F6">
      <w:r>
        <w:lastRenderedPageBreak/>
        <w:t>Piezīmes.</w:t>
      </w:r>
    </w:p>
    <w:p w14:paraId="10CD2C6B" w14:textId="77777777" w:rsidR="004E042B" w:rsidRDefault="008613F6">
      <w:r>
        <w:t>* Iesniedzējs (fiziskai personai – vārds, uzvārds, juridiskai personai – nosaukums) var tikt publiskots, ja viņš tam ir piekritis. Ja attiecināms, iesniedzējs norāda interešu pārstāvja reģistrācijas numuru.</w:t>
      </w:r>
    </w:p>
    <w:p w14:paraId="2A2DC5E9" w14:textId="77777777" w:rsidR="004E042B" w:rsidRDefault="008613F6">
      <w:r>
        <w:t>** Dokumenta rekvizītus "datums" un "paraksts" neaizpilda, ja elektroniskais dokuments ir sagatavots atbilstoši normatīvajiem aktiem par elektronisko dokumentu noformēšanu.</w:t>
      </w:r>
    </w:p>
    <w:sectPr w:rsidR="004E042B">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5B6C5" w14:textId="77777777" w:rsidR="0059182B" w:rsidRDefault="0059182B">
      <w:r>
        <w:separator/>
      </w:r>
    </w:p>
  </w:endnote>
  <w:endnote w:type="continuationSeparator" w:id="0">
    <w:p w14:paraId="78417433" w14:textId="77777777" w:rsidR="0059182B" w:rsidRDefault="00591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135B3" w14:textId="77777777" w:rsidR="004E042B" w:rsidRDefault="008613F6">
    <w:pPr>
      <w:jc w:val="right"/>
    </w:pPr>
    <w:r>
      <w:rPr>
        <w:sz w:val="24"/>
        <w:szCs w:val="24"/>
      </w:rPr>
      <w:fldChar w:fldCharType="begin"/>
    </w:r>
    <w:r>
      <w:rPr>
        <w:sz w:val="24"/>
        <w:szCs w:val="24"/>
      </w:rPr>
      <w:instrText>PAGE</w:instrText>
    </w:r>
    <w:r>
      <w:rPr>
        <w:sz w:val="24"/>
        <w:szCs w:val="24"/>
      </w:rPr>
      <w:fldChar w:fldCharType="separate"/>
    </w:r>
    <w:r w:rsidR="00EB46CB">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65EDE" w14:textId="77777777" w:rsidR="007B344B" w:rsidRDefault="008613F6">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7A02E" w14:textId="77777777" w:rsidR="0059182B" w:rsidRDefault="0059182B">
      <w:r>
        <w:separator/>
      </w:r>
    </w:p>
  </w:footnote>
  <w:footnote w:type="continuationSeparator" w:id="0">
    <w:p w14:paraId="2E3D896F" w14:textId="77777777" w:rsidR="0059182B" w:rsidRDefault="005918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DF07A" w14:textId="77777777" w:rsidR="004E042B" w:rsidRDefault="008613F6">
    <w:pPr>
      <w:pStyle w:val="Header"/>
      <w:contextualSpacing w:val="0"/>
    </w:pPr>
    <w:r>
      <w:t>Viedokļu pārskats 25-TA-2976</w:t>
    </w:r>
    <w:r>
      <w:br/>
      <w:t>Izdrukāts 14.05.2026. 08.29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F2F82" w14:textId="77777777" w:rsidR="004E042B" w:rsidRDefault="008613F6">
    <w:pPr>
      <w:pStyle w:val="Header"/>
      <w:contextualSpacing w:val="0"/>
    </w:pPr>
    <w:r>
      <w:t>Viedokļu pārskats 25-TA-2976</w:t>
    </w:r>
    <w:r>
      <w:br/>
      <w:t>Izdrukāts 14.05.2026. 08.29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42B"/>
    <w:rsid w:val="00006489"/>
    <w:rsid w:val="00007997"/>
    <w:rsid w:val="000113C5"/>
    <w:rsid w:val="00011813"/>
    <w:rsid w:val="000136BB"/>
    <w:rsid w:val="000237C8"/>
    <w:rsid w:val="00030BAB"/>
    <w:rsid w:val="00053BC0"/>
    <w:rsid w:val="000640F1"/>
    <w:rsid w:val="0007212E"/>
    <w:rsid w:val="000A54CB"/>
    <w:rsid w:val="000C78FD"/>
    <w:rsid w:val="000E082C"/>
    <w:rsid w:val="000F0F1F"/>
    <w:rsid w:val="001145AE"/>
    <w:rsid w:val="00134102"/>
    <w:rsid w:val="00136B02"/>
    <w:rsid w:val="00136C79"/>
    <w:rsid w:val="00141E5E"/>
    <w:rsid w:val="00156207"/>
    <w:rsid w:val="00163BCA"/>
    <w:rsid w:val="001809E8"/>
    <w:rsid w:val="001875B0"/>
    <w:rsid w:val="001B1E44"/>
    <w:rsid w:val="001C41D3"/>
    <w:rsid w:val="001F6A10"/>
    <w:rsid w:val="00202586"/>
    <w:rsid w:val="00220B6E"/>
    <w:rsid w:val="00223611"/>
    <w:rsid w:val="0023342A"/>
    <w:rsid w:val="002770BF"/>
    <w:rsid w:val="00282FF3"/>
    <w:rsid w:val="002C23D5"/>
    <w:rsid w:val="002D08FB"/>
    <w:rsid w:val="002D4381"/>
    <w:rsid w:val="002E72B9"/>
    <w:rsid w:val="002F24A3"/>
    <w:rsid w:val="002F6171"/>
    <w:rsid w:val="00300EEE"/>
    <w:rsid w:val="003069B3"/>
    <w:rsid w:val="00314CCB"/>
    <w:rsid w:val="00325304"/>
    <w:rsid w:val="00325895"/>
    <w:rsid w:val="00354C03"/>
    <w:rsid w:val="00356163"/>
    <w:rsid w:val="003933D0"/>
    <w:rsid w:val="003A1355"/>
    <w:rsid w:val="003E60F8"/>
    <w:rsid w:val="003F72FF"/>
    <w:rsid w:val="003F7ABF"/>
    <w:rsid w:val="00400699"/>
    <w:rsid w:val="00403E7F"/>
    <w:rsid w:val="00405A43"/>
    <w:rsid w:val="00414103"/>
    <w:rsid w:val="00414841"/>
    <w:rsid w:val="00425714"/>
    <w:rsid w:val="00434075"/>
    <w:rsid w:val="00441A71"/>
    <w:rsid w:val="0044614F"/>
    <w:rsid w:val="00453225"/>
    <w:rsid w:val="0045454F"/>
    <w:rsid w:val="00457CE4"/>
    <w:rsid w:val="00470101"/>
    <w:rsid w:val="00472867"/>
    <w:rsid w:val="00477E84"/>
    <w:rsid w:val="00482A9C"/>
    <w:rsid w:val="004A4DCC"/>
    <w:rsid w:val="004B573D"/>
    <w:rsid w:val="004D6559"/>
    <w:rsid w:val="004E042B"/>
    <w:rsid w:val="00510E57"/>
    <w:rsid w:val="00515C14"/>
    <w:rsid w:val="00541878"/>
    <w:rsid w:val="005524C4"/>
    <w:rsid w:val="00564C70"/>
    <w:rsid w:val="00573521"/>
    <w:rsid w:val="0059182B"/>
    <w:rsid w:val="005B0530"/>
    <w:rsid w:val="005C1A6B"/>
    <w:rsid w:val="005C47A3"/>
    <w:rsid w:val="005E2C0C"/>
    <w:rsid w:val="005F5697"/>
    <w:rsid w:val="00664CA9"/>
    <w:rsid w:val="0067380B"/>
    <w:rsid w:val="006872EB"/>
    <w:rsid w:val="006A4377"/>
    <w:rsid w:val="006A4E02"/>
    <w:rsid w:val="006C7FC9"/>
    <w:rsid w:val="006E4A3A"/>
    <w:rsid w:val="007025AA"/>
    <w:rsid w:val="00722DE1"/>
    <w:rsid w:val="007544DB"/>
    <w:rsid w:val="0077024C"/>
    <w:rsid w:val="007776E1"/>
    <w:rsid w:val="007A19F8"/>
    <w:rsid w:val="007A622F"/>
    <w:rsid w:val="007B344B"/>
    <w:rsid w:val="007B3DBF"/>
    <w:rsid w:val="007C6792"/>
    <w:rsid w:val="008017E8"/>
    <w:rsid w:val="008035D8"/>
    <w:rsid w:val="00811203"/>
    <w:rsid w:val="00825EDD"/>
    <w:rsid w:val="00850E5D"/>
    <w:rsid w:val="008543BE"/>
    <w:rsid w:val="008613F6"/>
    <w:rsid w:val="008759A5"/>
    <w:rsid w:val="00887B9D"/>
    <w:rsid w:val="008C04C2"/>
    <w:rsid w:val="008C10B2"/>
    <w:rsid w:val="008D1AEE"/>
    <w:rsid w:val="008F028F"/>
    <w:rsid w:val="00924C5E"/>
    <w:rsid w:val="00927A5E"/>
    <w:rsid w:val="00934518"/>
    <w:rsid w:val="00940ECE"/>
    <w:rsid w:val="00950B54"/>
    <w:rsid w:val="009609BC"/>
    <w:rsid w:val="00970E61"/>
    <w:rsid w:val="009C0F51"/>
    <w:rsid w:val="009C6A8C"/>
    <w:rsid w:val="009D40FB"/>
    <w:rsid w:val="009E0D03"/>
    <w:rsid w:val="009E2BB2"/>
    <w:rsid w:val="00A03BAD"/>
    <w:rsid w:val="00A47F5B"/>
    <w:rsid w:val="00A560E6"/>
    <w:rsid w:val="00A61FE1"/>
    <w:rsid w:val="00A63698"/>
    <w:rsid w:val="00A7245F"/>
    <w:rsid w:val="00A72615"/>
    <w:rsid w:val="00A84FDD"/>
    <w:rsid w:val="00A92A7D"/>
    <w:rsid w:val="00A97E47"/>
    <w:rsid w:val="00AA1A11"/>
    <w:rsid w:val="00AB0576"/>
    <w:rsid w:val="00AB34D2"/>
    <w:rsid w:val="00AC551F"/>
    <w:rsid w:val="00B329F1"/>
    <w:rsid w:val="00B41505"/>
    <w:rsid w:val="00B45903"/>
    <w:rsid w:val="00B54C3E"/>
    <w:rsid w:val="00B62DD7"/>
    <w:rsid w:val="00B645F4"/>
    <w:rsid w:val="00B75125"/>
    <w:rsid w:val="00B84A62"/>
    <w:rsid w:val="00B92F9A"/>
    <w:rsid w:val="00BA4952"/>
    <w:rsid w:val="00BB30F3"/>
    <w:rsid w:val="00BB5C87"/>
    <w:rsid w:val="00BD39DA"/>
    <w:rsid w:val="00BD4098"/>
    <w:rsid w:val="00BE79A9"/>
    <w:rsid w:val="00C0049C"/>
    <w:rsid w:val="00C079E6"/>
    <w:rsid w:val="00C41069"/>
    <w:rsid w:val="00C4385D"/>
    <w:rsid w:val="00C45A28"/>
    <w:rsid w:val="00C566F2"/>
    <w:rsid w:val="00C76C8C"/>
    <w:rsid w:val="00C859FB"/>
    <w:rsid w:val="00C86BAB"/>
    <w:rsid w:val="00C95AC6"/>
    <w:rsid w:val="00CA00B0"/>
    <w:rsid w:val="00CC1364"/>
    <w:rsid w:val="00CD1A29"/>
    <w:rsid w:val="00CE271A"/>
    <w:rsid w:val="00CE6D4D"/>
    <w:rsid w:val="00CF46DA"/>
    <w:rsid w:val="00D04D0E"/>
    <w:rsid w:val="00D26869"/>
    <w:rsid w:val="00D330C2"/>
    <w:rsid w:val="00D400FA"/>
    <w:rsid w:val="00D766B9"/>
    <w:rsid w:val="00D964C1"/>
    <w:rsid w:val="00DA5E02"/>
    <w:rsid w:val="00DB0889"/>
    <w:rsid w:val="00DC2765"/>
    <w:rsid w:val="00DE2103"/>
    <w:rsid w:val="00E51C82"/>
    <w:rsid w:val="00E77C07"/>
    <w:rsid w:val="00EA5753"/>
    <w:rsid w:val="00EB46CB"/>
    <w:rsid w:val="00EE08A6"/>
    <w:rsid w:val="00F03559"/>
    <w:rsid w:val="00F4395B"/>
    <w:rsid w:val="00F65D7B"/>
    <w:rsid w:val="00F724B2"/>
    <w:rsid w:val="00FB2C20"/>
    <w:rsid w:val="00FC43D8"/>
    <w:rsid w:val="00FD3C38"/>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38981"/>
  <w15:docId w15:val="{96A37B0C-9D42-4D52-BAA6-883973391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CommentReference">
    <w:name w:val="annotation reference"/>
    <w:basedOn w:val="DefaultParagraphFont"/>
    <w:uiPriority w:val="99"/>
    <w:semiHidden/>
    <w:unhideWhenUsed/>
    <w:rsid w:val="002C23D5"/>
    <w:rPr>
      <w:sz w:val="16"/>
      <w:szCs w:val="16"/>
    </w:rPr>
  </w:style>
  <w:style w:type="paragraph" w:styleId="CommentText">
    <w:name w:val="annotation text"/>
    <w:basedOn w:val="Normal"/>
    <w:link w:val="CommentTextChar"/>
    <w:uiPriority w:val="99"/>
    <w:unhideWhenUsed/>
    <w:rsid w:val="002C23D5"/>
    <w:rPr>
      <w:sz w:val="20"/>
    </w:rPr>
  </w:style>
  <w:style w:type="character" w:customStyle="1" w:styleId="CommentTextChar">
    <w:name w:val="Comment Text Char"/>
    <w:basedOn w:val="DefaultParagraphFont"/>
    <w:link w:val="CommentText"/>
    <w:uiPriority w:val="99"/>
    <w:rsid w:val="002C23D5"/>
    <w:rPr>
      <w:sz w:val="20"/>
    </w:rPr>
  </w:style>
  <w:style w:type="paragraph" w:styleId="CommentSubject">
    <w:name w:val="annotation subject"/>
    <w:basedOn w:val="CommentText"/>
    <w:next w:val="CommentText"/>
    <w:link w:val="CommentSubjectChar"/>
    <w:uiPriority w:val="99"/>
    <w:semiHidden/>
    <w:unhideWhenUsed/>
    <w:rsid w:val="002C23D5"/>
    <w:rPr>
      <w:b/>
      <w:bCs/>
    </w:rPr>
  </w:style>
  <w:style w:type="character" w:customStyle="1" w:styleId="CommentSubjectChar">
    <w:name w:val="Comment Subject Char"/>
    <w:basedOn w:val="CommentTextChar"/>
    <w:link w:val="CommentSubject"/>
    <w:uiPriority w:val="99"/>
    <w:semiHidden/>
    <w:rsid w:val="002C23D5"/>
    <w:rPr>
      <w:b/>
      <w:bCs/>
      <w:sz w:val="20"/>
    </w:rPr>
  </w:style>
  <w:style w:type="character" w:styleId="Hyperlink">
    <w:name w:val="Hyperlink"/>
    <w:basedOn w:val="DefaultParagraphFont"/>
    <w:uiPriority w:val="99"/>
    <w:unhideWhenUsed/>
    <w:rsid w:val="00541878"/>
    <w:rPr>
      <w:color w:val="467886" w:themeColor="hyperlink"/>
      <w:u w:val="single"/>
    </w:rPr>
  </w:style>
  <w:style w:type="character" w:styleId="UnresolvedMention">
    <w:name w:val="Unresolved Mention"/>
    <w:basedOn w:val="DefaultParagraphFont"/>
    <w:uiPriority w:val="99"/>
    <w:semiHidden/>
    <w:unhideWhenUsed/>
    <w:rsid w:val="00541878"/>
    <w:rPr>
      <w:color w:val="605E5C"/>
      <w:shd w:val="clear" w:color="auto" w:fill="E1DFDD"/>
    </w:rPr>
  </w:style>
  <w:style w:type="paragraph" w:styleId="Revision">
    <w:name w:val="Revision"/>
    <w:hidden/>
    <w:uiPriority w:val="99"/>
    <w:semiHidden/>
    <w:rsid w:val="00477E84"/>
    <w:pPr>
      <w:jc w:val="left"/>
    </w:pPr>
  </w:style>
  <w:style w:type="paragraph" w:styleId="Footer">
    <w:name w:val="footer"/>
    <w:basedOn w:val="Normal"/>
    <w:link w:val="FooterChar"/>
    <w:uiPriority w:val="99"/>
    <w:unhideWhenUsed/>
    <w:rsid w:val="00477E84"/>
    <w:pPr>
      <w:tabs>
        <w:tab w:val="center" w:pos="4153"/>
        <w:tab w:val="right" w:pos="8306"/>
      </w:tabs>
    </w:pPr>
  </w:style>
  <w:style w:type="character" w:customStyle="1" w:styleId="FooterChar">
    <w:name w:val="Footer Char"/>
    <w:basedOn w:val="DefaultParagraphFont"/>
    <w:link w:val="Footer"/>
    <w:uiPriority w:val="99"/>
    <w:rsid w:val="00477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D54650-99E3-42DB-9E30-F1DDB2D5C6BD}">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22</Pages>
  <Words>16854</Words>
  <Characters>9607</Characters>
  <Application>Microsoft Office Word</Application>
  <DocSecurity>4</DocSecurity>
  <Lines>80</Lines>
  <Paragraphs>52</Paragraphs>
  <ScaleCrop>false</ScaleCrop>
  <HeadingPairs>
    <vt:vector size="2" baseType="variant">
      <vt:variant>
        <vt:lpstr>Title</vt:lpstr>
      </vt:variant>
      <vt:variant>
        <vt:i4>1</vt:i4>
      </vt:variant>
    </vt:vector>
  </HeadingPairs>
  <TitlesOfParts>
    <vt:vector size="1" baseType="lpstr">
      <vt:lpstr>viedoklu_parskats_25-TA-2976.docx</vt:lpstr>
    </vt:vector>
  </TitlesOfParts>
  <Company/>
  <LinksUpToDate>false</LinksUpToDate>
  <CharactersWithSpaces>26409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viedoklu_parskats_25-TA-2976.docx</dc:title>
  <dc:creator>Ingūna Vitenburga</dc:creator>
  <cp:lastModifiedBy>Ingūna Vitenburga</cp:lastModifiedBy>
  <cp:revision>2</cp:revision>
  <dcterms:created xsi:type="dcterms:W3CDTF">2026-06-03T11:21:00Z</dcterms:created>
  <dcterms:modified xsi:type="dcterms:W3CDTF">2026-06-03T11:21:00Z</dcterms:modified>
</cp:coreProperties>
</file>