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1031163" w14:textId="77777777" w:rsidR="00E10A08" w:rsidRPr="00D258FD" w:rsidRDefault="00000000">
      <w:pPr>
        <w:spacing w:after="240"/>
        <w:jc w:val="center"/>
        <w:rPr>
          <w:b/>
          <w:sz w:val="24"/>
          <w:szCs w:val="24"/>
        </w:rPr>
      </w:pPr>
      <w:r w:rsidRPr="00D258FD">
        <w:rPr>
          <w:b/>
          <w:sz w:val="24"/>
          <w:szCs w:val="24"/>
        </w:rPr>
        <w:t>“Publiskās apspriešanas laikā 12.08.2025. - 26.08.2025. saņemto viedokļu, priekšlikumu un iebildumu apkopojums par Grozījumi Ministru kabineta 2016. gada 20. decembra noteikumos Nr.&amp;nbsp;812 "Oficiālās statistikas veidlapu paraugu apstiprināšanas un veidlapu aizpildīšanas un iesniegšanas 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E10A08" w:rsidRPr="00D258FD" w14:paraId="43EAA6D1" w14:textId="77777777">
        <w:tc>
          <w:tcPr>
            <w:tcW w:w="750" w:type="dxa"/>
            <w:shd w:val="clear" w:color="auto" w:fill="FFFFFF"/>
            <w:noWrap/>
            <w:tcMar>
              <w:top w:w="75" w:type="dxa"/>
              <w:left w:w="75" w:type="dxa"/>
              <w:bottom w:w="75" w:type="dxa"/>
              <w:right w:w="75" w:type="dxa"/>
            </w:tcMar>
            <w:vAlign w:val="center"/>
          </w:tcPr>
          <w:p w14:paraId="7DBEEEEF" w14:textId="77777777" w:rsidR="00E10A08" w:rsidRPr="00D258FD" w:rsidRDefault="00000000">
            <w:pPr>
              <w:jc w:val="center"/>
              <w:rPr>
                <w:sz w:val="24"/>
                <w:szCs w:val="24"/>
              </w:rPr>
            </w:pPr>
            <w:r w:rsidRPr="00D258FD">
              <w:rPr>
                <w:b/>
                <w:sz w:val="24"/>
                <w:szCs w:val="24"/>
              </w:rPr>
              <w:t>Nr.p.k.</w:t>
            </w:r>
          </w:p>
        </w:tc>
        <w:tc>
          <w:tcPr>
            <w:tcW w:w="4055" w:type="dxa"/>
            <w:shd w:val="clear" w:color="auto" w:fill="FFFFFF"/>
            <w:noWrap/>
            <w:tcMar>
              <w:top w:w="75" w:type="dxa"/>
              <w:left w:w="75" w:type="dxa"/>
              <w:bottom w:w="75" w:type="dxa"/>
              <w:right w:w="75" w:type="dxa"/>
            </w:tcMar>
            <w:vAlign w:val="center"/>
          </w:tcPr>
          <w:p w14:paraId="20E13D37" w14:textId="77777777" w:rsidR="00E10A08" w:rsidRPr="00D258FD" w:rsidRDefault="00000000">
            <w:pPr>
              <w:jc w:val="center"/>
              <w:rPr>
                <w:sz w:val="24"/>
                <w:szCs w:val="24"/>
              </w:rPr>
            </w:pPr>
            <w:r w:rsidRPr="00D258FD">
              <w:rPr>
                <w:b/>
                <w:sz w:val="24"/>
                <w:szCs w:val="24"/>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BF61A27" w14:textId="77777777" w:rsidR="00E10A08" w:rsidRPr="00D258FD" w:rsidRDefault="00000000">
            <w:pPr>
              <w:jc w:val="center"/>
              <w:rPr>
                <w:sz w:val="24"/>
                <w:szCs w:val="24"/>
              </w:rPr>
            </w:pPr>
            <w:r w:rsidRPr="00D258FD">
              <w:rPr>
                <w:b/>
                <w:sz w:val="24"/>
                <w:szCs w:val="24"/>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2B564CB2" w14:textId="77777777" w:rsidR="00E10A08" w:rsidRPr="00D258FD" w:rsidRDefault="00000000">
            <w:pPr>
              <w:jc w:val="center"/>
              <w:rPr>
                <w:sz w:val="24"/>
                <w:szCs w:val="24"/>
              </w:rPr>
            </w:pPr>
            <w:r w:rsidRPr="00D258FD">
              <w:rPr>
                <w:b/>
                <w:sz w:val="24"/>
                <w:szCs w:val="24"/>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28C90C53" w14:textId="77777777" w:rsidR="00E10A08" w:rsidRPr="00D258FD" w:rsidRDefault="00000000">
            <w:pPr>
              <w:jc w:val="center"/>
              <w:rPr>
                <w:sz w:val="24"/>
                <w:szCs w:val="24"/>
              </w:rPr>
            </w:pPr>
            <w:r w:rsidRPr="00D258FD">
              <w:rPr>
                <w:b/>
                <w:sz w:val="24"/>
                <w:szCs w:val="24"/>
              </w:rPr>
              <w:t>Skaidrojums, kādā veidā viedoklis / priekšlikums / iebildums ir ņemts vērā vai ņemts vērā daļēji, vai pamatojums, ja viedoklis / priekšlikums / iebildums nav ņemts vērā</w:t>
            </w:r>
          </w:p>
        </w:tc>
      </w:tr>
      <w:tr w:rsidR="00E10A08" w:rsidRPr="00D258FD" w14:paraId="51BC49A4" w14:textId="77777777">
        <w:tc>
          <w:tcPr>
            <w:tcW w:w="750" w:type="dxa"/>
            <w:shd w:val="clear" w:color="auto" w:fill="FFFFFF"/>
            <w:noWrap/>
            <w:tcMar>
              <w:top w:w="75" w:type="dxa"/>
              <w:left w:w="75" w:type="dxa"/>
              <w:bottom w:w="75" w:type="dxa"/>
              <w:right w:w="75" w:type="dxa"/>
            </w:tcMar>
            <w:vAlign w:val="center"/>
          </w:tcPr>
          <w:p w14:paraId="1C0E7186" w14:textId="77777777" w:rsidR="00E10A08" w:rsidRPr="00D258FD" w:rsidRDefault="00000000">
            <w:pPr>
              <w:jc w:val="center"/>
              <w:rPr>
                <w:sz w:val="24"/>
                <w:szCs w:val="24"/>
              </w:rPr>
            </w:pPr>
            <w:r w:rsidRPr="00D258FD">
              <w:rPr>
                <w:sz w:val="24"/>
                <w:szCs w:val="24"/>
              </w:rPr>
              <w:t>1.</w:t>
            </w:r>
          </w:p>
        </w:tc>
        <w:tc>
          <w:tcPr>
            <w:tcW w:w="4055" w:type="dxa"/>
            <w:shd w:val="clear" w:color="auto" w:fill="FFFFFF"/>
            <w:noWrap/>
            <w:tcMar>
              <w:top w:w="75" w:type="dxa"/>
              <w:left w:w="75" w:type="dxa"/>
              <w:bottom w:w="75" w:type="dxa"/>
              <w:right w:w="75" w:type="dxa"/>
            </w:tcMar>
            <w:vAlign w:val="center"/>
          </w:tcPr>
          <w:p w14:paraId="7125F419" w14:textId="77777777" w:rsidR="00E10A08" w:rsidRPr="00D258FD" w:rsidRDefault="00000000">
            <w:pPr>
              <w:jc w:val="left"/>
              <w:rPr>
                <w:sz w:val="24"/>
                <w:szCs w:val="24"/>
              </w:rPr>
            </w:pPr>
            <w:r w:rsidRPr="00D258FD">
              <w:rPr>
                <w:sz w:val="24"/>
                <w:szCs w:val="24"/>
              </w:rPr>
              <w:t>Latvijas Tirgotāju asociācija</w:t>
            </w:r>
          </w:p>
        </w:tc>
        <w:tc>
          <w:tcPr>
            <w:tcW w:w="4056" w:type="dxa"/>
            <w:shd w:val="clear" w:color="auto" w:fill="FFFFFF"/>
            <w:noWrap/>
            <w:tcMar>
              <w:top w:w="75" w:type="dxa"/>
              <w:left w:w="75" w:type="dxa"/>
              <w:bottom w:w="75" w:type="dxa"/>
              <w:right w:w="75" w:type="dxa"/>
            </w:tcMar>
            <w:vAlign w:val="center"/>
          </w:tcPr>
          <w:p w14:paraId="58125BCA" w14:textId="77777777" w:rsidR="00E10A08" w:rsidRPr="00D258FD" w:rsidRDefault="00000000">
            <w:pPr>
              <w:jc w:val="left"/>
              <w:rPr>
                <w:sz w:val="24"/>
                <w:szCs w:val="24"/>
              </w:rPr>
            </w:pPr>
            <w:r w:rsidRPr="00D258FD">
              <w:rPr>
                <w:sz w:val="24"/>
                <w:szCs w:val="24"/>
              </w:rPr>
              <w:t>Aicinām CSP tikties ar nozari (tirdzniecību) un sniegt populāru skaidrojumu par izmaiņām nozares statistikas pārskatos, tai skaitā, papildus līdz gada beigām plām\notiem</w:t>
            </w:r>
          </w:p>
        </w:tc>
        <w:tc>
          <w:tcPr>
            <w:tcW w:w="1650" w:type="dxa"/>
            <w:shd w:val="clear" w:color="auto" w:fill="FFFFFF"/>
            <w:noWrap/>
            <w:tcMar>
              <w:top w:w="75" w:type="dxa"/>
              <w:left w:w="75" w:type="dxa"/>
              <w:bottom w:w="75" w:type="dxa"/>
              <w:right w:w="75" w:type="dxa"/>
            </w:tcMar>
            <w:vAlign w:val="center"/>
          </w:tcPr>
          <w:p w14:paraId="53584633" w14:textId="446D8D64" w:rsidR="00E10A08" w:rsidRPr="00D258FD" w:rsidRDefault="008D57B6">
            <w:pPr>
              <w:jc w:val="left"/>
              <w:rPr>
                <w:sz w:val="24"/>
                <w:szCs w:val="24"/>
              </w:rPr>
            </w:pPr>
            <w:r w:rsidRPr="00D258FD">
              <w:rPr>
                <w:b/>
                <w:sz w:val="24"/>
                <w:szCs w:val="24"/>
              </w:rPr>
              <w:t>Ņemts vērā</w:t>
            </w:r>
          </w:p>
        </w:tc>
        <w:tc>
          <w:tcPr>
            <w:tcW w:w="4056" w:type="dxa"/>
            <w:shd w:val="clear" w:color="auto" w:fill="FFFFFF"/>
            <w:noWrap/>
            <w:tcMar>
              <w:top w:w="75" w:type="dxa"/>
              <w:left w:w="75" w:type="dxa"/>
              <w:bottom w:w="75" w:type="dxa"/>
              <w:right w:w="75" w:type="dxa"/>
            </w:tcMar>
            <w:vAlign w:val="center"/>
          </w:tcPr>
          <w:p w14:paraId="13C754A9" w14:textId="77777777" w:rsidR="008D57B6" w:rsidRPr="00D258FD" w:rsidRDefault="008D57B6" w:rsidP="008D57B6">
            <w:pPr>
              <w:rPr>
                <w:sz w:val="24"/>
                <w:szCs w:val="24"/>
              </w:rPr>
            </w:pPr>
            <w:r w:rsidRPr="00D258FD">
              <w:rPr>
                <w:sz w:val="24"/>
                <w:szCs w:val="24"/>
              </w:rPr>
              <w:t>Lai izpildītu 2025. gada 22. aprīļa Ministru kabineta Informatīvā ziņojuma “Par prioritārajiem pasākumiem birokrātijas mazināšanai 2025. gadā” 9. punktu, kā arī 2025. gada 6. maija Valsts kancelejas vēstulē Nr. 2025-3.1.1./20-1285 “Par birokrātijas mazināšanas prioritāro pasākumu ieviešanu” uzdoto, ka valsts pārvaldes iestādes jebkuru informāciju pieprasa tikai vienu reizi, pēc tam to izplatot savā starpā, Centrālā statistikas pārvaldes (turpmāk – Pārvalde) ir identificējusi konkrētus uzdevumus. Realizētās un plānotās izmaiņas, kuras ietekmē tirdzniecības nozares uzņēmumu statistikas datu iesniegšanu:</w:t>
            </w:r>
          </w:p>
          <w:p w14:paraId="61079343" w14:textId="311B07EC" w:rsidR="008D57B6" w:rsidRPr="00D258FD" w:rsidRDefault="008D57B6" w:rsidP="008D57B6">
            <w:pPr>
              <w:pStyle w:val="ListParagraph"/>
              <w:numPr>
                <w:ilvl w:val="0"/>
                <w:numId w:val="1"/>
              </w:numPr>
              <w:jc w:val="both"/>
              <w:rPr>
                <w:rFonts w:ascii="Times New Roman" w:hAnsi="Times New Roman" w:cs="Times New Roman"/>
              </w:rPr>
            </w:pPr>
            <w:r w:rsidRPr="00D258FD">
              <w:rPr>
                <w:rFonts w:ascii="Times New Roman" w:hAnsi="Times New Roman" w:cs="Times New Roman"/>
              </w:rPr>
              <w:t>No 2025.</w:t>
            </w:r>
            <w:r w:rsidR="00D258FD">
              <w:rPr>
                <w:rFonts w:ascii="Times New Roman" w:hAnsi="Times New Roman" w:cs="Times New Roman"/>
              </w:rPr>
              <w:t xml:space="preserve"> </w:t>
            </w:r>
            <w:r w:rsidRPr="00D258FD">
              <w:rPr>
                <w:rFonts w:ascii="Times New Roman" w:hAnsi="Times New Roman" w:cs="Times New Roman"/>
              </w:rPr>
              <w:t xml:space="preserve">gada jūlija 3628 uzņēmumiem tirdzniecības un pakalpojumu nozarē vairs nav jāsniedz Pārvaldei mēneša un </w:t>
            </w:r>
            <w:r w:rsidRPr="00D258FD">
              <w:rPr>
                <w:rFonts w:ascii="Times New Roman" w:hAnsi="Times New Roman" w:cs="Times New Roman"/>
              </w:rPr>
              <w:lastRenderedPageBreak/>
              <w:t>ceturkšņa pārskati par apgrozījumu. Oficiālās statistikas nodrošināšanai par apgrozījumu tirdzniecības un pakalpojumu nozarēs Pārvalde turpmāk izmantos administratīvos datus no VID iesniedzamām PVN deklarācijām. Apsekojumā iekļautie komersanti, kas līdz šim Pārvaldē iesniedza oficiālās statistikas pārskatus “Pārskats par apgrozījumu” 1-apgrozījums, 2-apgrozījums, 3-apgrozījums un 4-apgrozījums, ir oficiāli informēti par šo lēmumu.</w:t>
            </w:r>
          </w:p>
          <w:p w14:paraId="7AA95032" w14:textId="5E991A0E" w:rsidR="008D57B6" w:rsidRPr="00D258FD" w:rsidRDefault="008D57B6" w:rsidP="008D57B6">
            <w:pPr>
              <w:pStyle w:val="ListParagraph"/>
              <w:numPr>
                <w:ilvl w:val="0"/>
                <w:numId w:val="1"/>
              </w:numPr>
              <w:jc w:val="both"/>
              <w:rPr>
                <w:rFonts w:ascii="Times New Roman" w:hAnsi="Times New Roman" w:cs="Times New Roman"/>
              </w:rPr>
            </w:pPr>
            <w:r w:rsidRPr="00D258FD">
              <w:rPr>
                <w:rFonts w:ascii="Times New Roman" w:hAnsi="Times New Roman" w:cs="Times New Roman"/>
              </w:rPr>
              <w:t>Sākot ar 2026. gada 1. janvāri tiks atcelti statistikas pārskati “Statistikas uzņēmumu reģistra aktualizācijas veidlapa” 1-reģistrs un 4-reģistrs. No 2026. gada NACE aktualizācijai tiks izmantot</w:t>
            </w:r>
            <w:r w:rsidR="00D258FD">
              <w:rPr>
                <w:rFonts w:ascii="Times New Roman" w:hAnsi="Times New Roman" w:cs="Times New Roman"/>
              </w:rPr>
              <w:t>a</w:t>
            </w:r>
            <w:r w:rsidRPr="00D258FD">
              <w:rPr>
                <w:rFonts w:ascii="Times New Roman" w:hAnsi="Times New Roman" w:cs="Times New Roman"/>
              </w:rPr>
              <w:t xml:space="preserve"> tikai Pārvaldes īstermiņa vai gada pārskatos sniegtā informācija, VID administratīvajos avotos pieejamā informācija u.c. </w:t>
            </w:r>
            <w:r w:rsidRPr="00D258FD">
              <w:rPr>
                <w:rFonts w:ascii="Times New Roman" w:hAnsi="Times New Roman" w:cs="Times New Roman"/>
              </w:rPr>
              <w:lastRenderedPageBreak/>
              <w:t>pieejamie ārējie avoti. Jaunreģistrētajiem uzņēmumiem tiks izmantota VID pieejamā informācija.</w:t>
            </w:r>
          </w:p>
          <w:p w14:paraId="7B0140BD" w14:textId="67264E9E" w:rsidR="008D57B6" w:rsidRPr="00D258FD" w:rsidRDefault="008D57B6" w:rsidP="00D258FD">
            <w:pPr>
              <w:pStyle w:val="ListParagraph"/>
              <w:numPr>
                <w:ilvl w:val="0"/>
                <w:numId w:val="1"/>
              </w:numPr>
              <w:jc w:val="both"/>
              <w:rPr>
                <w:rFonts w:ascii="Times New Roman" w:hAnsi="Times New Roman" w:cs="Times New Roman"/>
              </w:rPr>
            </w:pPr>
            <w:r w:rsidRPr="00D258FD">
              <w:rPr>
                <w:rFonts w:ascii="Times New Roman" w:hAnsi="Times New Roman" w:cs="Times New Roman"/>
              </w:rPr>
              <w:t>Tiks īstenota statistikas pārskatu “Kompleksais pārskats par darbību” 1-gada un “Uzņēmuma (iestādes) vietējās darbības veida vienības”</w:t>
            </w:r>
            <w:r w:rsidR="00D258FD" w:rsidRPr="00D258FD">
              <w:rPr>
                <w:rFonts w:ascii="Times New Roman" w:hAnsi="Times New Roman" w:cs="Times New Roman"/>
              </w:rPr>
              <w:t xml:space="preserve"> </w:t>
            </w:r>
            <w:r w:rsidRPr="00D258FD">
              <w:rPr>
                <w:rFonts w:ascii="Times New Roman" w:hAnsi="Times New Roman" w:cs="Times New Roman"/>
              </w:rPr>
              <w:t xml:space="preserve">1-DVV, “Kompleksais pārskats par darbību” 2-gada un “Uzņēmuma (iestādes) vietējās darbības veida vienības” 1-DVV apvienošana 2026. gada apsekojumiem par 2025. gadu ar mērķi mazināt iesniedzamo pārskata skaitu Pārvaldei. </w:t>
            </w:r>
          </w:p>
          <w:p w14:paraId="7A1D80F4" w14:textId="77777777" w:rsidR="008D57B6" w:rsidRPr="00D258FD" w:rsidRDefault="008D57B6" w:rsidP="008D57B6">
            <w:pPr>
              <w:pStyle w:val="ListParagraph"/>
              <w:numPr>
                <w:ilvl w:val="0"/>
                <w:numId w:val="1"/>
              </w:numPr>
              <w:jc w:val="both"/>
              <w:rPr>
                <w:rFonts w:ascii="Times New Roman" w:hAnsi="Times New Roman" w:cs="Times New Roman"/>
              </w:rPr>
            </w:pPr>
            <w:r w:rsidRPr="00D258FD">
              <w:rPr>
                <w:rFonts w:ascii="Times New Roman" w:hAnsi="Times New Roman" w:cs="Times New Roman"/>
              </w:rPr>
              <w:t>Noris darbs pie pārskata 2-darbs “Pārskats par darbu” un VID Darba devēju ziņojuma apvienošanas projekta izstrādes, kas paredz samazināt sniedzamo datu apjomu pārskatā 2-darbs vai to vispār atcelt, papildu rādītājus ietverot VID pārskatos, tādējādi būtiski mazinot respondentu noslodzi. Uzdevumu plānots īstenot līdz 2027. gada beigām.</w:t>
            </w:r>
          </w:p>
          <w:p w14:paraId="7C89E8FE" w14:textId="1CAD643F" w:rsidR="00E10A08" w:rsidRPr="00D258FD" w:rsidRDefault="008D57B6" w:rsidP="008D57B6">
            <w:pPr>
              <w:jc w:val="left"/>
              <w:rPr>
                <w:sz w:val="24"/>
                <w:szCs w:val="24"/>
              </w:rPr>
            </w:pPr>
            <w:r w:rsidRPr="00D258FD">
              <w:rPr>
                <w:sz w:val="24"/>
                <w:szCs w:val="24"/>
              </w:rPr>
              <w:lastRenderedPageBreak/>
              <w:t>Atsaucoties uz Latvijas Tirgotāju asociācijas aicinājumu, esam atvērti sarunai</w:t>
            </w:r>
            <w:r w:rsidR="00D258FD">
              <w:rPr>
                <w:sz w:val="24"/>
                <w:szCs w:val="24"/>
              </w:rPr>
              <w:t>, kā arī</w:t>
            </w:r>
            <w:r w:rsidR="00BD1A83">
              <w:rPr>
                <w:sz w:val="24"/>
                <w:szCs w:val="24"/>
              </w:rPr>
              <w:t xml:space="preserve"> gatavi</w:t>
            </w:r>
            <w:r w:rsidRPr="00D258FD">
              <w:rPr>
                <w:sz w:val="24"/>
                <w:szCs w:val="24"/>
              </w:rPr>
              <w:t xml:space="preserve"> sniegt detalizētu skaidrojumu gan par administratīvā sloga mazināšanas iespējām oficiālās statistikas nodrošināšanā, gan par iestādes stratēģiskajiem virzieniem un plānotajiem attīstības  soļiem. Lai vienotos par tikšanās datumu un laiku Pārvaldes telpās, lūgums sazināties ar Uzņēmējdarbības statistikas departamenta direktori Sarmīti Proli, tālr. 67366982, e-pasts: </w:t>
            </w:r>
            <w:hyperlink r:id="rId7" w:history="1">
              <w:r w:rsidRPr="00D258FD">
                <w:rPr>
                  <w:rStyle w:val="Hyperlink"/>
                  <w:sz w:val="24"/>
                  <w:szCs w:val="24"/>
                </w:rPr>
                <w:t>Sarmīte.Prole@csp.gov.lv</w:t>
              </w:r>
            </w:hyperlink>
            <w:r w:rsidRPr="00D258FD">
              <w:rPr>
                <w:sz w:val="24"/>
                <w:szCs w:val="24"/>
              </w:rPr>
              <w:t xml:space="preserve"> .</w:t>
            </w:r>
          </w:p>
        </w:tc>
      </w:tr>
    </w:tbl>
    <w:p w14:paraId="3F61EBAD" w14:textId="77777777" w:rsidR="00E10A08" w:rsidRPr="00D258FD" w:rsidRDefault="00E10A08">
      <w:pPr>
        <w:rPr>
          <w:sz w:val="24"/>
          <w:szCs w:val="24"/>
        </w:rPr>
      </w:pPr>
    </w:p>
    <w:tbl>
      <w:tblPr>
        <w:tblStyle w:val="a"/>
        <w:tblW w:w="14567" w:type="dxa"/>
        <w:tblLayout w:type="fixed"/>
        <w:tblLook w:val="0600" w:firstRow="0" w:lastRow="0" w:firstColumn="0" w:lastColumn="0" w:noHBand="1" w:noVBand="1"/>
      </w:tblPr>
      <w:tblGrid>
        <w:gridCol w:w="4855"/>
        <w:gridCol w:w="4856"/>
        <w:gridCol w:w="4856"/>
      </w:tblGrid>
      <w:tr w:rsidR="00E10A08" w:rsidRPr="00D258FD" w14:paraId="7E288DD7" w14:textId="77777777">
        <w:tc>
          <w:tcPr>
            <w:tcW w:w="4855" w:type="dxa"/>
            <w:shd w:val="clear" w:color="auto" w:fill="FFFFFF"/>
            <w:noWrap/>
            <w:tcMar>
              <w:top w:w="75" w:type="dxa"/>
              <w:left w:w="75" w:type="dxa"/>
              <w:bottom w:w="75" w:type="dxa"/>
              <w:right w:w="75" w:type="dxa"/>
            </w:tcMar>
            <w:vAlign w:val="center"/>
          </w:tcPr>
          <w:p w14:paraId="2A9B102F" w14:textId="77777777" w:rsidR="00E10A08" w:rsidRPr="00D258FD" w:rsidRDefault="00000000">
            <w:pPr>
              <w:jc w:val="left"/>
              <w:rPr>
                <w:sz w:val="24"/>
                <w:szCs w:val="24"/>
              </w:rPr>
            </w:pPr>
            <w:r w:rsidRPr="00D258FD">
              <w:rPr>
                <w:sz w:val="24"/>
                <w:szCs w:val="24"/>
              </w:rPr>
              <w:t>Datums**</w:t>
            </w:r>
          </w:p>
        </w:tc>
        <w:tc>
          <w:tcPr>
            <w:tcW w:w="4856" w:type="dxa"/>
            <w:shd w:val="clear" w:color="auto" w:fill="FFFFFF"/>
            <w:noWrap/>
            <w:tcMar>
              <w:top w:w="75" w:type="dxa"/>
              <w:left w:w="75" w:type="dxa"/>
              <w:bottom w:w="75" w:type="dxa"/>
              <w:right w:w="75" w:type="dxa"/>
            </w:tcMar>
            <w:vAlign w:val="center"/>
          </w:tcPr>
          <w:p w14:paraId="19C8A7BB" w14:textId="0CCA0A60" w:rsidR="00E10A08" w:rsidRPr="00D258FD" w:rsidRDefault="008D57B6">
            <w:pPr>
              <w:pBdr>
                <w:bottom w:val="single" w:sz="10" w:space="1" w:color="000000"/>
              </w:pBdr>
              <w:rPr>
                <w:sz w:val="24"/>
                <w:szCs w:val="24"/>
              </w:rPr>
            </w:pPr>
            <w:r w:rsidRPr="00D258FD">
              <w:rPr>
                <w:sz w:val="24"/>
                <w:szCs w:val="24"/>
              </w:rPr>
              <w:t>01.09.2025.</w:t>
            </w:r>
          </w:p>
        </w:tc>
        <w:tc>
          <w:tcPr>
            <w:tcW w:w="4856" w:type="dxa"/>
            <w:shd w:val="clear" w:color="auto" w:fill="FFFFFF"/>
            <w:noWrap/>
            <w:tcMar>
              <w:top w:w="75" w:type="dxa"/>
              <w:left w:w="75" w:type="dxa"/>
              <w:bottom w:w="75" w:type="dxa"/>
              <w:right w:w="75" w:type="dxa"/>
            </w:tcMar>
            <w:vAlign w:val="center"/>
          </w:tcPr>
          <w:p w14:paraId="41D75D71" w14:textId="77777777" w:rsidR="00E10A08" w:rsidRPr="00D258FD" w:rsidRDefault="00E10A08">
            <w:pPr>
              <w:rPr>
                <w:sz w:val="24"/>
                <w:szCs w:val="24"/>
              </w:rPr>
            </w:pPr>
          </w:p>
        </w:tc>
      </w:tr>
      <w:tr w:rsidR="00E10A08" w:rsidRPr="00D258FD" w14:paraId="1ABB97C9" w14:textId="77777777">
        <w:tc>
          <w:tcPr>
            <w:tcW w:w="4855" w:type="dxa"/>
            <w:shd w:val="clear" w:color="auto" w:fill="FFFFFF"/>
            <w:noWrap/>
            <w:tcMar>
              <w:top w:w="75" w:type="dxa"/>
              <w:left w:w="75" w:type="dxa"/>
              <w:bottom w:w="75" w:type="dxa"/>
              <w:right w:w="75" w:type="dxa"/>
            </w:tcMar>
            <w:vAlign w:val="center"/>
          </w:tcPr>
          <w:p w14:paraId="74D6707B" w14:textId="77777777" w:rsidR="00E10A08" w:rsidRPr="00D258FD" w:rsidRDefault="00E10A08">
            <w:pPr>
              <w:rPr>
                <w:sz w:val="24"/>
                <w:szCs w:val="24"/>
              </w:rPr>
            </w:pPr>
          </w:p>
        </w:tc>
        <w:tc>
          <w:tcPr>
            <w:tcW w:w="4856" w:type="dxa"/>
            <w:shd w:val="clear" w:color="auto" w:fill="FFFFFF"/>
            <w:noWrap/>
            <w:tcMar>
              <w:top w:w="75" w:type="dxa"/>
              <w:left w:w="75" w:type="dxa"/>
              <w:bottom w:w="75" w:type="dxa"/>
              <w:right w:w="75" w:type="dxa"/>
            </w:tcMar>
            <w:vAlign w:val="center"/>
          </w:tcPr>
          <w:p w14:paraId="61A616CB" w14:textId="77777777" w:rsidR="00E10A08" w:rsidRPr="00D258FD" w:rsidRDefault="00000000">
            <w:pPr>
              <w:jc w:val="center"/>
              <w:rPr>
                <w:sz w:val="24"/>
                <w:szCs w:val="24"/>
              </w:rPr>
            </w:pPr>
            <w:r w:rsidRPr="00D258FD">
              <w:rPr>
                <w:sz w:val="24"/>
                <w:szCs w:val="24"/>
              </w:rPr>
              <w:t>(dd.mm.gggg)</w:t>
            </w:r>
          </w:p>
        </w:tc>
        <w:tc>
          <w:tcPr>
            <w:tcW w:w="4856" w:type="dxa"/>
            <w:shd w:val="clear" w:color="auto" w:fill="FFFFFF"/>
            <w:noWrap/>
            <w:tcMar>
              <w:top w:w="75" w:type="dxa"/>
              <w:left w:w="75" w:type="dxa"/>
              <w:bottom w:w="75" w:type="dxa"/>
              <w:right w:w="75" w:type="dxa"/>
            </w:tcMar>
            <w:vAlign w:val="center"/>
          </w:tcPr>
          <w:p w14:paraId="3BC54A2E" w14:textId="77777777" w:rsidR="00E10A08" w:rsidRPr="00D258FD" w:rsidRDefault="00E10A08">
            <w:pPr>
              <w:rPr>
                <w:sz w:val="24"/>
                <w:szCs w:val="24"/>
              </w:rPr>
            </w:pPr>
          </w:p>
        </w:tc>
      </w:tr>
      <w:tr w:rsidR="00E10A08" w:rsidRPr="00D258FD" w14:paraId="79B8AEB6" w14:textId="77777777">
        <w:tc>
          <w:tcPr>
            <w:tcW w:w="4855" w:type="dxa"/>
            <w:shd w:val="clear" w:color="auto" w:fill="FFFFFF"/>
            <w:noWrap/>
            <w:tcMar>
              <w:top w:w="75" w:type="dxa"/>
              <w:left w:w="75" w:type="dxa"/>
              <w:bottom w:w="75" w:type="dxa"/>
              <w:right w:w="75" w:type="dxa"/>
            </w:tcMar>
            <w:vAlign w:val="center"/>
          </w:tcPr>
          <w:p w14:paraId="29BAC207" w14:textId="77777777" w:rsidR="00E10A08" w:rsidRPr="00D258FD" w:rsidRDefault="00000000">
            <w:pPr>
              <w:jc w:val="left"/>
              <w:rPr>
                <w:sz w:val="24"/>
                <w:szCs w:val="24"/>
              </w:rPr>
            </w:pPr>
            <w:r w:rsidRPr="00D258FD">
              <w:rPr>
                <w:sz w:val="24"/>
                <w:szCs w:val="24"/>
              </w:rPr>
              <w:t>Atbildīgā persona</w:t>
            </w:r>
          </w:p>
        </w:tc>
        <w:tc>
          <w:tcPr>
            <w:tcW w:w="4856" w:type="dxa"/>
            <w:shd w:val="clear" w:color="auto" w:fill="FFFFFF"/>
            <w:noWrap/>
            <w:tcMar>
              <w:top w:w="75" w:type="dxa"/>
              <w:left w:w="75" w:type="dxa"/>
              <w:bottom w:w="75" w:type="dxa"/>
              <w:right w:w="75" w:type="dxa"/>
            </w:tcMar>
            <w:vAlign w:val="center"/>
          </w:tcPr>
          <w:p w14:paraId="7CB24F5F" w14:textId="77777777" w:rsidR="00E10A08" w:rsidRPr="00D258FD" w:rsidRDefault="00E10A08">
            <w:pPr>
              <w:pBdr>
                <w:bottom w:val="single" w:sz="10" w:space="1" w:color="000000"/>
              </w:pBdr>
              <w:rPr>
                <w:sz w:val="24"/>
                <w:szCs w:val="24"/>
              </w:rPr>
            </w:pPr>
          </w:p>
        </w:tc>
        <w:tc>
          <w:tcPr>
            <w:tcW w:w="4856" w:type="dxa"/>
            <w:shd w:val="clear" w:color="auto" w:fill="FFFFFF"/>
            <w:noWrap/>
            <w:tcMar>
              <w:top w:w="75" w:type="dxa"/>
              <w:left w:w="75" w:type="dxa"/>
              <w:bottom w:w="75" w:type="dxa"/>
              <w:right w:w="75" w:type="dxa"/>
            </w:tcMar>
            <w:vAlign w:val="center"/>
          </w:tcPr>
          <w:p w14:paraId="5F9BDEA1" w14:textId="77777777" w:rsidR="00E10A08" w:rsidRPr="00D258FD" w:rsidRDefault="00E10A08">
            <w:pPr>
              <w:rPr>
                <w:sz w:val="24"/>
                <w:szCs w:val="24"/>
              </w:rPr>
            </w:pPr>
          </w:p>
        </w:tc>
      </w:tr>
      <w:tr w:rsidR="00E10A08" w:rsidRPr="00D258FD" w14:paraId="323F59E8" w14:textId="77777777">
        <w:tc>
          <w:tcPr>
            <w:tcW w:w="4855" w:type="dxa"/>
            <w:shd w:val="clear" w:color="auto" w:fill="FFFFFF"/>
            <w:noWrap/>
            <w:tcMar>
              <w:top w:w="75" w:type="dxa"/>
              <w:left w:w="75" w:type="dxa"/>
              <w:bottom w:w="75" w:type="dxa"/>
              <w:right w:w="75" w:type="dxa"/>
            </w:tcMar>
            <w:vAlign w:val="center"/>
          </w:tcPr>
          <w:p w14:paraId="3D136F5B" w14:textId="77777777" w:rsidR="00E10A08" w:rsidRPr="00D258FD" w:rsidRDefault="00E10A08">
            <w:pPr>
              <w:rPr>
                <w:sz w:val="24"/>
                <w:szCs w:val="24"/>
              </w:rPr>
            </w:pPr>
          </w:p>
        </w:tc>
        <w:tc>
          <w:tcPr>
            <w:tcW w:w="4856" w:type="dxa"/>
            <w:shd w:val="clear" w:color="auto" w:fill="FFFFFF"/>
            <w:noWrap/>
            <w:tcMar>
              <w:top w:w="75" w:type="dxa"/>
              <w:left w:w="75" w:type="dxa"/>
              <w:bottom w:w="75" w:type="dxa"/>
              <w:right w:w="75" w:type="dxa"/>
            </w:tcMar>
            <w:vAlign w:val="center"/>
          </w:tcPr>
          <w:p w14:paraId="2DA3DDFC" w14:textId="77777777" w:rsidR="00E10A08" w:rsidRPr="00D258FD" w:rsidRDefault="00000000">
            <w:pPr>
              <w:jc w:val="center"/>
              <w:rPr>
                <w:sz w:val="24"/>
                <w:szCs w:val="24"/>
              </w:rPr>
            </w:pPr>
            <w:r w:rsidRPr="00D258FD">
              <w:rPr>
                <w:sz w:val="24"/>
                <w:szCs w:val="24"/>
              </w:rPr>
              <w:t>(vārds, uzvārds, paraksts**)</w:t>
            </w:r>
          </w:p>
        </w:tc>
        <w:tc>
          <w:tcPr>
            <w:tcW w:w="4856" w:type="dxa"/>
            <w:shd w:val="clear" w:color="auto" w:fill="FFFFFF"/>
            <w:noWrap/>
            <w:tcMar>
              <w:top w:w="75" w:type="dxa"/>
              <w:left w:w="75" w:type="dxa"/>
              <w:bottom w:w="75" w:type="dxa"/>
              <w:right w:w="75" w:type="dxa"/>
            </w:tcMar>
            <w:vAlign w:val="center"/>
          </w:tcPr>
          <w:p w14:paraId="0287E3EB" w14:textId="77777777" w:rsidR="00E10A08" w:rsidRPr="00D258FD" w:rsidRDefault="00E10A08">
            <w:pPr>
              <w:rPr>
                <w:sz w:val="24"/>
                <w:szCs w:val="24"/>
              </w:rPr>
            </w:pPr>
          </w:p>
        </w:tc>
      </w:tr>
    </w:tbl>
    <w:p w14:paraId="4368E137" w14:textId="77777777" w:rsidR="00E10A08" w:rsidRPr="00D258FD" w:rsidRDefault="00E10A08">
      <w:pPr>
        <w:rPr>
          <w:sz w:val="24"/>
          <w:szCs w:val="24"/>
        </w:rPr>
      </w:pPr>
    </w:p>
    <w:p w14:paraId="2994D3D9" w14:textId="77777777" w:rsidR="00E10A08" w:rsidRPr="00D258FD" w:rsidRDefault="00000000">
      <w:pPr>
        <w:rPr>
          <w:sz w:val="24"/>
          <w:szCs w:val="24"/>
        </w:rPr>
      </w:pPr>
      <w:r w:rsidRPr="00D258FD">
        <w:rPr>
          <w:sz w:val="24"/>
          <w:szCs w:val="24"/>
        </w:rPr>
        <w:t>Piezīmes.</w:t>
      </w:r>
    </w:p>
    <w:p w14:paraId="4D8FEFA4" w14:textId="77777777" w:rsidR="00E10A08" w:rsidRPr="00D258FD" w:rsidRDefault="00000000">
      <w:pPr>
        <w:rPr>
          <w:sz w:val="24"/>
          <w:szCs w:val="24"/>
        </w:rPr>
      </w:pPr>
      <w:r w:rsidRPr="00D258FD">
        <w:rPr>
          <w:sz w:val="24"/>
          <w:szCs w:val="24"/>
        </w:rPr>
        <w:t>* Iesniedzējs (fiziskai personai – vārds, uzvārds, juridiskai personai – nosaukums) var tikt publiskots, ja viņš tam ir piekritis. Ja attiecināms, iesniedzējs norāda interešu pārstāvja reģistrācijas numuru.</w:t>
      </w:r>
    </w:p>
    <w:p w14:paraId="25E94F2E" w14:textId="77777777" w:rsidR="00E10A08" w:rsidRPr="00D258FD" w:rsidRDefault="00000000">
      <w:pPr>
        <w:rPr>
          <w:sz w:val="24"/>
          <w:szCs w:val="24"/>
        </w:rPr>
      </w:pPr>
      <w:r w:rsidRPr="00D258FD">
        <w:rPr>
          <w:sz w:val="24"/>
          <w:szCs w:val="24"/>
        </w:rPr>
        <w:t>** Dokumenta rekvizītus "datums" un "paraksts" neaizpilda, ja elektroniskais dokuments ir sagatavots atbilstoši normatīvajiem aktiem par elektronisko dokumentu noformēšanu.</w:t>
      </w:r>
    </w:p>
    <w:sectPr w:rsidR="00E10A08" w:rsidRPr="00D258FD">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1E7BB" w14:textId="77777777" w:rsidR="00995E4F" w:rsidRDefault="00995E4F">
      <w:r>
        <w:separator/>
      </w:r>
    </w:p>
  </w:endnote>
  <w:endnote w:type="continuationSeparator" w:id="0">
    <w:p w14:paraId="110B91C8" w14:textId="77777777" w:rsidR="00995E4F" w:rsidRDefault="0099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6901" w14:textId="77777777" w:rsidR="00E10A08" w:rsidRDefault="00000000">
    <w:pPr>
      <w:jc w:val="right"/>
    </w:pPr>
    <w:r>
      <w:rPr>
        <w:sz w:val="24"/>
        <w:szCs w:val="24"/>
      </w:rPr>
      <w:fldChar w:fldCharType="begin"/>
    </w:r>
    <w:r>
      <w:rPr>
        <w:sz w:val="24"/>
        <w:szCs w:val="24"/>
      </w:rPr>
      <w:instrText>PAGE</w:instrText>
    </w:r>
    <w:r w:rsidR="008D57B6">
      <w:rPr>
        <w:sz w:val="24"/>
        <w:szCs w:val="24"/>
      </w:rPr>
      <w:fldChar w:fldCharType="separate"/>
    </w:r>
    <w:r w:rsidR="008D57B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9C09"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701D7" w14:textId="77777777" w:rsidR="00995E4F" w:rsidRDefault="00995E4F">
      <w:r>
        <w:separator/>
      </w:r>
    </w:p>
  </w:footnote>
  <w:footnote w:type="continuationSeparator" w:id="0">
    <w:p w14:paraId="491414E6" w14:textId="77777777" w:rsidR="00995E4F" w:rsidRDefault="00995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D868" w14:textId="77777777" w:rsidR="00E10A08" w:rsidRDefault="00000000">
    <w:pPr>
      <w:pStyle w:val="Header"/>
      <w:contextualSpacing w:val="0"/>
    </w:pPr>
    <w:r>
      <w:t>Viedokļu pārskats 25-TA-1633</w:t>
    </w:r>
    <w:r>
      <w:br/>
      <w:t>Izdrukāts 01.09.2025. 08.45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7ECB" w14:textId="77777777" w:rsidR="00E10A08" w:rsidRDefault="00000000">
    <w:pPr>
      <w:pStyle w:val="Header"/>
      <w:contextualSpacing w:val="0"/>
    </w:pPr>
    <w:r>
      <w:t>Viedokļu pārskats 25-TA-1633</w:t>
    </w:r>
    <w:r>
      <w:br/>
      <w:t>Izdrukāts 01.09.2025. 08.45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522C6"/>
    <w:multiLevelType w:val="hybridMultilevel"/>
    <w:tmpl w:val="EF3458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05748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10A08"/>
    <w:rsid w:val="007D1BFD"/>
    <w:rsid w:val="008D57B6"/>
    <w:rsid w:val="00995E4F"/>
    <w:rsid w:val="00BD1A83"/>
    <w:rsid w:val="00D258FD"/>
    <w:rsid w:val="00E10A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8C54"/>
  <w15:docId w15:val="{CECA3FE3-B13F-404B-83BE-63172B0CC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8D57B6"/>
    <w:pPr>
      <w:spacing w:after="160" w:line="278" w:lineRule="auto"/>
      <w:ind w:left="720"/>
      <w:contextualSpacing/>
      <w:jc w:val="left"/>
    </w:pPr>
    <w:rPr>
      <w:rFonts w:asciiTheme="minorHAnsi" w:eastAsiaTheme="minorHAnsi" w:hAnsiTheme="minorHAnsi" w:cstheme="minorBidi"/>
      <w:color w:val="auto"/>
      <w:kern w:val="2"/>
      <w:sz w:val="24"/>
      <w:szCs w:val="24"/>
      <w:lang w:eastAsia="en-US"/>
      <w14:ligatures w14:val="standardContextual"/>
    </w:rPr>
  </w:style>
  <w:style w:type="character" w:styleId="Hyperlink">
    <w:name w:val="Hyperlink"/>
    <w:basedOn w:val="DefaultParagraphFont"/>
    <w:uiPriority w:val="99"/>
    <w:unhideWhenUsed/>
    <w:rsid w:val="008D57B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rm&#299;te.Prole@csp.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2626</Words>
  <Characters>1498</Characters>
  <Application>Microsoft Office Word</Application>
  <DocSecurity>0</DocSecurity>
  <Lines>12</Lines>
  <Paragraphs>8</Paragraphs>
  <ScaleCrop>false</ScaleCrop>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viedoklu_parskats_25-TA-1633.docx</dc:title>
  <cp:lastModifiedBy>Guna Steinberga</cp:lastModifiedBy>
  <cp:revision>4</cp:revision>
  <dcterms:created xsi:type="dcterms:W3CDTF">2025-09-01T10:14:00Z</dcterms:created>
  <dcterms:modified xsi:type="dcterms:W3CDTF">2025-09-01T10:32:00Z</dcterms:modified>
</cp:coreProperties>
</file>