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19 233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18 771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14 707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6 794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iestādi, kas saņem fiksēto maksājumu par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iestādi, kas saņem šajā pielikumā noteikto maksājumu par diabētiskās pēdas aprūpes kabinetu vai par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šī pielikuma 2.23.apakšpunktā minētais maksājums. Ja kabinetā nodarbināto funkcionālo speciālistu, psihologu, psihoterapeitu, narkologu vai psihiatru slodžu skaits ir mazāks par vienu slodzi, tad šī pielikuma 2.23.apakšpunktā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šī kabineta uzskaitē iekļautas līdz 18 gadu vecumam, un šīm personām ir tiesības saņemt tādus veselības aprūpes pakalpojumus kā kabineta uzskaitē esošajiem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noteikumu_konsolidētā_versija_p10_24-TA-6.docx</dc:title>
</cp:coreProperties>
</file>

<file path=docProps/custom.xml><?xml version="1.0" encoding="utf-8"?>
<Properties xmlns="http://schemas.openxmlformats.org/officeDocument/2006/custom-properties" xmlns:vt="http://schemas.openxmlformats.org/officeDocument/2006/docPropsVTypes"/>
</file>