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3. novembrī (prot. Nr. 73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1 045 916 </w:t>
      </w:r>
      <w:r w:rsidR="00000000" w:rsidRPr="00000000" w:rsidDel="00000000">
        <w:rPr>
          <w:i w:val="1"/>
          <w:rtl w:val="0"/>
        </w:rPr>
        <w:t xml:space="preserve">euro</w:t>
      </w:r>
      <w:r w:rsidR="00000000" w:rsidRPr="00000000" w:rsidDel="00000000">
        <w:rPr>
          <w:rtl w:val="0"/>
        </w:rPr>
        <w:t xml:space="preserve"> apmērā gultu izveidei un atbilstošu medicīnisko iekārtu un papildaprīkojuma iegādei,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sabiedrībai ar ierobežotu atbildību "Rīgas 1. slimnīca" finansējumu 381 795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ar ierobežotu atbildību "Rīgas 2. slimnīca" finansējumu 376 625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ar ierobežotu atbildību "Rēzeknes slimnīca" finansējumu 49 075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sabiedrībai ar ierobežotu atbildību "Jelgavas pilsētas slimnīca" finansējumu 175 421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sabiedrībai ar ierobežotu atbildību "Ziemeļkurzemes reģionālā slimnīca" finansējumu 63 000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1. punktā minētais finansējums tiks piešķirts valsts apmaksāto veselības aprūpes pakalpojumu nodrošināšanai, ievērojot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1. punktā minētās iekārtas paredzētas slimnīcu kapacitātes palielināšanai, un tās tiek iegādātas valsts īpašumā un nodotas slimnīcām bezatlīdzības lietošanā. Veselības ministrijai izvērtēt iekārtu faktisko noslodzi divu gadu periodā un atbilstību slimnīcas līmenim un lemt par iekārtu nodošanu citām slimnīcām atbilstoši faktiskajai nepieciešamībai.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21-TA-915</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21-TA-915</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rīkojuma_projekts_21-TA-915.docx</dc:title>
</cp:coreProperties>
</file>

<file path=docProps/custom.xml><?xml version="1.0" encoding="utf-8"?>
<Properties xmlns="http://schemas.openxmlformats.org/officeDocument/2006/custom-properties" xmlns:vt="http://schemas.openxmlformats.org/officeDocument/2006/docPropsVTypes"/>
</file>