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 jūlijā (prot. Nr. 27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 marta noteikumos Nr. 150 "Emisijas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 marta noteikumos Nr. 150 "Emisijas kvotu izsolīšanas instrumenta finansēto projektu atklāta konkursa "Siltumnīcefekta gāzu emisiju samazināšana mājsaimniecībās – atbalsts atjaunojamo energoresursu izmantošanai" nolikums" (Latvijas Vēstnesis, 2022, 47., 83., 137. nr.; 2023, 118.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Konkursa ietvaros pieejamais kopējais atbalsts ir 45 000 000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vismaz 80 % no elektroenerģijas, kas gadā saražota ar šo noteikumu 16.2. apakšpunktā minētajām iekārtām, tiek izmantoti: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9.4.1. dzīvojamās mājas vai daudzdzīvokļu mājas iedzīvotāju pašpatēriņam gada griezumā (12 mēnešu periods, kas sākas kārtējā gada 1. martā un beidzas nākamā gada februāra pēdējā dienā) attiecīgajā elektroenerģijas sistēmas pieslēgumā (ja dzīvojamā mājā vai daudzdzīvokļu mājā ir neto uzskaites sistēma), izņemot gadījumu, ja šo noteikumu 8. punktā minētais projekta iesniedzējs atbilst šo noteikumu 16.</w:t>
      </w:r>
      <w:r w:rsidR="00000000" w:rsidRPr="00000000" w:rsidDel="00000000">
        <w:rPr>
          <w:vertAlign w:val="superscript"/>
          <w:rtl w:val="0"/>
        </w:rPr>
        <w:t xml:space="preserve">2</w:t>
      </w:r>
      <w:r w:rsidR="00000000" w:rsidRPr="00000000" w:rsidDel="00000000">
        <w:rPr>
          <w:rtl w:val="0"/>
        </w:rPr>
        <w:t xml:space="preserve"> punktā minētajiem nosacījumiem un par nodoto elektroenerģiju saņem atlīdzību;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9.4.2. dzīvojamās mājas vai daudzdzīvokļu mājas iedzīvotāju pašpatēriņam gada griezumā (12 mēnešu periods, kas sākas kārtējā gada 1. martā un beidzas nākamā gada februāra pēdējā dienā) attiecīgajā elektroenerģijas sistēmas pieslēgumā vai visos dzīvojamās mājas vai daudzdzīvokļu mājas īpašnieka objektos kopā (ja dzīvojamās mājas vai daudzdzīvokļu mājas īpašnieks ir neto norēķinu sistēmas dalībnieks), izņemot gadījumu, ja šo noteikumu 8. punktā minētais projekta iesniedzējs atbilst šo noteikumu 16.</w:t>
      </w:r>
      <w:r w:rsidR="00000000" w:rsidRPr="00000000" w:rsidDel="00000000">
        <w:rPr>
          <w:vertAlign w:val="superscript"/>
          <w:rtl w:val="0"/>
        </w:rPr>
        <w:t xml:space="preserve">2</w:t>
      </w:r>
      <w:r w:rsidR="00000000" w:rsidRPr="00000000" w:rsidDel="00000000">
        <w:rPr>
          <w:rtl w:val="0"/>
        </w:rPr>
        <w:t xml:space="preserve"> punktā minētajiem nosacījumiem un par nodoto elektroenerģiju saņem atlīdzību. Neto norēķinu sistēmas gadījumā projekta iesniedzējs ir tās dzīvojamās mājas vai daudzdzīvokļu mājas īpašnieks, kurā uzstādīta elektroenerģijas ražošanas iekārta, un neto norēķinu sistēmas dalībnieks;".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Konkursa ietvaros projekta iesniedzējs par katru šo noteikumu 16. punktā minēto atbalstāmo aktivitāti var iesniegt vienu projekta iesniegumu par katru juridiskās vai fiziskās personas īpašumā vai kopīpašumā esošu daudzdzīvokļu māju vai dzīvojamo māju."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Konkursa ietvaros pieļaujamā atbalsta intensitāte nepārsniedz 70 % no elektroenerģijas uzglabāšanas iekārtas iegādes izmaksām, nepārsniedzot kopējo atbalsta apjomu 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16.2.1.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"16.2.1. saules elektrostacija, ietverot saules paneļus un invertoru, ar pieslēgumu kopējam elektroapgādes tīklam vai bez šāda pieslēguma;".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16.2.2.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"16.2.2. vēja elektrostacija, ietverot vēja ģeneratoru un invertoru, ar pieslēgumu kopējam elektroapgādes tīklam vai bez šāda pieslēguma;".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elektroenerģijas uzglabāšanas iekārtas ar nominālo ietilpību vismaz 5 kWh iegāde. Aktivitāte īstenojama kopā ar šo noteikumu 16.2. apakšpunktā minēto aktivitāti."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Ja šo noteikumu 16. punktā minētās aktivitātes veic dzīvojamā mājā vai daudzdzīvokļu mājā, kas tiek izmantota saimnieciskajā darbībā, un dzīvojamās mājas vai daudzdzīvokļu mājas dzīvokļa īpašnieks pretendē uz atbalstu, kas kvalificējams kā komercdarbības atbalsts, tad atbalstu konkursa ietvaros sniedz saskaņā ar Komisijas 2023. gada 13. decembra Regulu (ES) Nr. 2023/2831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regula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 </w:t>
      </w:r>
      <w:r w:rsidR="00000000" w:rsidRPr="00000000" w:rsidDel="00000000">
        <w:rPr>
          <w:i w:val="1"/>
          <w:rtl w:val="0"/>
        </w:rPr>
        <w:t xml:space="preserve">de minimis </w:t>
      </w:r>
      <w:r w:rsidR="00000000" w:rsidRPr="00000000" w:rsidDel="00000000">
        <w:rPr>
          <w:rtl w:val="0"/>
        </w:rPr>
        <w:t xml:space="preserve">atbalstu piešķir, ievērojot regulas Nr. 2023/2831 1. panta 1. punktā minētos nozaru un darbības ierobežojumus. Ja šo noteikumu 8. punktā minētā persona, kas atbilst šo noteikumu 16.</w:t>
      </w:r>
      <w:r w:rsidR="00000000" w:rsidRPr="00000000" w:rsidDel="00000000">
        <w:rPr>
          <w:vertAlign w:val="superscript"/>
          <w:rtl w:val="0"/>
        </w:rPr>
        <w:t xml:space="preserve">2</w:t>
      </w:r>
      <w:r w:rsidR="00000000" w:rsidRPr="00000000" w:rsidDel="00000000">
        <w:rPr>
          <w:rtl w:val="0"/>
        </w:rPr>
        <w:t xml:space="preserve"> punktam, – dzīvojamās mājas vai daudzdzīvokļu mājas dzīvokļa īpašnieks, kura konkrētais dzīvokļa vai dzīvojamās mājas īpašums tiek izmantots saimnieciskajā darbībā, – pretendē uz atbalstu, kas kvalificējams kā komercdarbības atbalsts, un šo noteikumu 8. punktā minētā persona darbojas arī nozarēs, kas minētas regulas Nr. 2023/2831 1. panta 1. punkta "a", "b", "c" vai "d" apakšpunktā, minētās personas nodrošina šo nozaru darbību vai uzskaites nodalīšanu atbilstoši regulas Nr. 2023/2831 1. panta 2. punktam tā,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5</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 piešķirot </w:t>
      </w:r>
      <w:r w:rsidR="00000000" w:rsidRPr="00000000" w:rsidDel="00000000">
        <w:rPr>
          <w:i w:val="1"/>
          <w:rtl w:val="0"/>
        </w:rPr>
        <w:t xml:space="preserve">de minimis</w:t>
      </w:r>
      <w:r w:rsidR="00000000" w:rsidRPr="00000000" w:rsidDel="00000000">
        <w:rPr>
          <w:rtl w:val="0"/>
        </w:rPr>
        <w:t xml:space="preserve"> atbalstu,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regulas Nr. 2023/2831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9</w:t>
      </w:r>
      <w:r w:rsidR="00000000" w:rsidRPr="00000000" w:rsidDel="00000000">
        <w:rPr>
          <w:rtl w:val="0"/>
        </w:rPr>
        <w:t xml:space="preserve"> Projektu iesniegumu vērtēšanas komisija lēmumu par atbalsta piešķiršanu saskaņā ar regulu Nr. 2023/2831 pieņem, ievērojot minētās regulas 7. panta 3. punktā un 8. pantā minēto spēkā esības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10</w:t>
      </w:r>
      <w:r w:rsidR="00000000" w:rsidRPr="00000000" w:rsidDel="00000000">
        <w:rPr>
          <w:rtl w:val="0"/>
        </w:rPr>
        <w:t xml:space="preserve"> Atbilstoši regulas Nr. 2023/2831 6. panta 3. un 7. punktam Vides investīciju fonds nodrošina informācijas uzglabāšanu 10 gadus no dienas, kad piešķirts pēdējais atbalsts saskaņā ar šiem noteikumiem, un finansējuma saņēmējs nodrošina informācijas uzglabāšanu 10 gadus no līdzfinansējuma piešķiršanas brīža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11</w:t>
      </w:r>
      <w:r w:rsidR="00000000" w:rsidRPr="00000000" w:rsidDel="00000000">
        <w:rPr>
          <w:rtl w:val="0"/>
        </w:rPr>
        <w:t xml:space="preserve"> Vides investīciju fonds nodrošina šo noteikumu 9.4. apakšpunktā minēto nosacījumu uzraudzību visā projekta dzīves cikla laikā (amortizācijas periodā), ja finansējuma saņēmējs šo noteikumu ietvaros nav saimnieciskās darbības veicējs. Ja Vides investīciju fonds konstatē, ka projekts tā dzīves cikla laikā (amortizācijas periodā) neatbilst šo noteikumu 9.4. apakšpunktā minētajiem nosacījumiem un tādējādi ir kvalificējams kā komercdarbības atbalsts, vai ja tiek pārkāpti regulas Nr. 2023/2831 nosacījumi, finansējuma saņēmējam ir pienākums atmaksāt ministrijai (uz Vides investīciju fonda vēstulē norādīto kontu)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12</w:t>
      </w:r>
      <w:r w:rsidR="00000000" w:rsidRPr="00000000" w:rsidDel="00000000">
        <w:rPr>
          <w:rtl w:val="0"/>
        </w:rPr>
        <w:t xml:space="preserve"> Ja finansējuma saņēmējs pārkāpj šo noteikumu 9.4. apakšpunktā minētos nosacījumus, tiek uzskatīts, ka finansējuma saņēmējs attiecīgajā pārskata gadā ir saimnieciskās darbības veicējs un tam tiek piemērota šo noteikumu 16.</w:t>
      </w:r>
      <w:r w:rsidR="00000000" w:rsidRPr="00000000" w:rsidDel="00000000">
        <w:rPr>
          <w:vertAlign w:val="superscript"/>
          <w:rtl w:val="0"/>
        </w:rPr>
        <w:t xml:space="preserve">2</w:t>
      </w:r>
      <w:r w:rsidR="00000000" w:rsidRPr="00000000" w:rsidDel="00000000">
        <w:rPr>
          <w:rtl w:val="0"/>
        </w:rPr>
        <w:t xml:space="preserve"> punktā minētā atbalsta piešķiršanas kārtība. Ja finansējuma saņēmējam minēto atbalstu nav iespējams piešķirt saskaņā ar šo noteikumu 16.</w:t>
      </w:r>
      <w:r w:rsidR="00000000" w:rsidRPr="00000000" w:rsidDel="00000000">
        <w:rPr>
          <w:vertAlign w:val="superscript"/>
          <w:rtl w:val="0"/>
        </w:rPr>
        <w:t xml:space="preserve">2</w:t>
      </w:r>
      <w:r w:rsidR="00000000" w:rsidRPr="00000000" w:rsidDel="00000000">
        <w:rPr>
          <w:rtl w:val="0"/>
        </w:rPr>
        <w:t xml:space="preserve"> punktu, piešķirtais atbalsts kvalificējams kā nelikumīgs komercdarbības atbalsts un Vides investīciju fonds nodrošina tā atgūšanu atbilstoši šo noteikumu 16.</w:t>
      </w:r>
      <w:r w:rsidR="00000000" w:rsidRPr="00000000" w:rsidDel="00000000">
        <w:rPr>
          <w:vertAlign w:val="superscript"/>
          <w:rtl w:val="0"/>
        </w:rPr>
        <w:t xml:space="preserve">11</w:t>
      </w:r>
      <w:r w:rsidR="00000000" w:rsidRPr="00000000" w:rsidDel="00000000">
        <w:rPr>
          <w:rtl w:val="0"/>
        </w:rPr>
        <w:t xml:space="preserve"> punktā minētajai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13</w:t>
      </w:r>
      <w:r w:rsidR="00000000" w:rsidRPr="00000000" w:rsidDel="00000000">
        <w:rPr>
          <w:rtl w:val="0"/>
        </w:rPr>
        <w:t xml:space="preserve"> Šo noteikumu 9.4. apakšpunkts nav attiecināms uz finansējuma saņēmējiem, kas atbilst šo noteikumu 16.</w:t>
      </w:r>
      <w:r w:rsidR="00000000" w:rsidRPr="00000000" w:rsidDel="00000000">
        <w:rPr>
          <w:vertAlign w:val="superscript"/>
          <w:rtl w:val="0"/>
        </w:rPr>
        <w:t xml:space="preserve">2</w:t>
      </w:r>
      <w:r w:rsidR="00000000" w:rsidRPr="00000000" w:rsidDel="00000000">
        <w:rPr>
          <w:rtl w:val="0"/>
        </w:rPr>
        <w:t xml:space="preserve">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šo noteikumu 16.1., 16.2., 16.3. un 16.6. apakšpunktā minēto iekārtu iegādes izmaksas, ja tās iegādātas no komersantiem, kas reģistrēti Latvijas Republikas Uzņēmumu reģistrā, un ir uzstādītas dzīvojamā mājā, daudzdzīvokļu mājā vai tām piederīgajā ēkā (būvē) vai piesaistītajā zemesgabalā;".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iekārtas uzstādītāja sastādītu un projekta iesniedzēja parakstītu pieņemšanas un nodošanas aktu, kas apliecina šo noteikumu 16.1., 16.2., 16.3. un 16.6. apakšpunktā minēto prasību izpildi attiecībā uz uzstādīto elektroenerģijas uzglabāšanas iekārtu vai siltumenerģijas vai elektroenerģijas ražošanas iekārtu, tai skaitā veiktos darbus, uzstādītās elektroenerģijas uzglabāšanas iekārtas vai siltumenerģijas vai elektroenerģijas ražošanas iekārtas parametrus, iekārtu kopuma ieregulēšanu un projekta iesniedzēja instruktāžas veikšanu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elektroenerģijas uzglabāšanas iekārtas vai siltumenerģijas vai elektroenerģijas ražošanas iekārtas uzstādīšanas vietas (vietu) vai pieslēguma vietas centralizētajai siltumapgādes sistēmai fotofiksāciju, tai skaitā uzstādītās iekārtas tehnisko rādītāju vai uzstādītās iekārtas modeļa koda fotofiksāciju;".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"24.7. ja elektroenerģijas uzglabāšanas iekārtas vai siltumenerģijas vai elektroenerģijas ražošanas iekārtas iegādei slēgts nomaksas pirkuma līgums, – kases čeka kopiju vai citu pirkuma maksas daļas (tai skaitā avansa maksājuma) samaksu apliecinošu dokumentu un nomaksas pirkuma līguma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24.14.</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"24.14.</w:t>
      </w:r>
      <w:r w:rsidR="00000000" w:rsidRPr="00000000" w:rsidDel="00000000">
        <w:rPr>
          <w:vertAlign w:val="superscript"/>
          <w:rtl w:val="0"/>
        </w:rPr>
        <w:t xml:space="preserve">2</w:t>
      </w:r>
      <w:r w:rsidR="00000000" w:rsidRPr="00000000" w:rsidDel="00000000">
        <w:rPr>
          <w:rtl w:val="0"/>
        </w:rPr>
        <w:t xml:space="preserve"> līguma kopiju par elektroenerģijas neto norēķinu sistēmas izmantošanu, kas noslēgts ar tās dzīvojamās mājas vai daudzdzīvokļu mājas īpašnieku, kurā projekta ietvaros ir uzstādīta elektroenerģijas ražošanas iekārta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Komisija pieņem lēmumu par projekta iesnieguma apstiprināšanu, ja projekta iesniegums atbilst visiem administratīvās vērtēšanas kritērijiem, tai skaitā šajos noteikumos minētajiem </w:t>
      </w:r>
      <w:r w:rsidR="00000000" w:rsidRPr="00000000" w:rsidDel="00000000">
        <w:rPr>
          <w:i w:val="1"/>
          <w:rtl w:val="0"/>
        </w:rPr>
        <w:t xml:space="preserve">de minimis</w:t>
      </w:r>
      <w:r w:rsidR="00000000" w:rsidRPr="00000000" w:rsidDel="00000000">
        <w:rPr>
          <w:rtl w:val="0"/>
        </w:rPr>
        <w:t xml:space="preserve"> nosacījumiem, kuru pārbaude tika veikta uz atbalsta piešķiršanas brīdi."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52.2.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vismaz 80 % no elektroenerģijas, kas gadā saražota ar projekta līgumā iekļautajām iekārtām, tiks izmantoti dzīvojamās mājas vai daudzdzīvokļu mājas iedzīvotāju pašpatēriņa vajadzībām, izņemot gadījumu, ja projekta iesniedzējs atbilst šo noteikumu 16.</w:t>
      </w:r>
      <w:r w:rsidR="00000000" w:rsidRPr="00000000" w:rsidDel="00000000">
        <w:rPr>
          <w:vertAlign w:val="superscript"/>
          <w:rtl w:val="0"/>
        </w:rPr>
        <w:t xml:space="preserve">2</w:t>
      </w:r>
      <w:r w:rsidR="00000000" w:rsidRPr="00000000" w:rsidDel="00000000">
        <w:rPr>
          <w:rtl w:val="0"/>
        </w:rPr>
        <w:t xml:space="preserve"> punktā minētajiem nosacījumiem. Šā nosacījuma pārbaudei Vides investīciju fonds pieprasa atbalsta saņēmējam piekļuvi šo noteikumu 16.2. apakšpunktā minēto iekārtu invertora datiem, un sadales sistēmas operators pēc Vides investīciju fonda pieprasījuma sniedz informāciju par projekta iesniedzēja līgumā par elektroenerģijas neto norēķinu sistēmas izmantošanu iekļauto objektu elektroenerģijas patēriņu un par tīklā nodoto elektroenerģijas apjomu, neto uzskaites sistēmā iekļauto objektu elektroenerģijas patēriņu un par tīklā nodoto elektroenerģijas apjomu, kā arī invertora iestatīto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"52.6. katru gadu tiks veikts monitorings par 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 un līdz katra nākamā gada 1. maijam Vides investīciju fondā tiks iesniegts monitoringa pārskats par 12 mēnešu periodu, kas sākas kārtējā gada 1. martā un beidzas nākamā gada februāra pēdējā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52.8.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"52.8. ievēro elektroenerģijas neto norēķinu sistēmas ietvaros maksimāli pieļaujamo elektrotīklā nodotās un pašpatēriņam neizmantotās elektroenerģijas pārpalikumu 12 mēnešu periodā, kas sākas kārtējā gada 1. martā un beidzas nākamā gada februāra pēdējā dienā. To nosaka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23-TA-3312</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23-TA-3312</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noteikumu_(grozījumu)_projekts_23-TA-3312.docx</dc:title>
</cp:coreProperties>
</file>

<file path=docProps/custom.xml><?xml version="1.0" encoding="utf-8"?>
<Properties xmlns="http://schemas.openxmlformats.org/officeDocument/2006/custom-properties" xmlns:vt="http://schemas.openxmlformats.org/officeDocument/2006/docPropsVTypes"/>
</file>