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Zinātniskās darbības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Zinātniskās darbības likumā (Latvijas Republikas Saeimas un Ministru Kabineta Ziņotājs, 2005, 10. nr.; 2007, 15. nr.; 2009, 2., 14. nr.; Latvijas Vēstnesis, 2010, 47., 68., 74., 205. nr.; 2013, 61. nr.; 2016, 249. nr.; 2017, 203. nr.; 2018, 128. nr.; 2019, 120., 214., 240. nr.; 2022. 144. nr.; 2024, 62. nr.) šādus grozījumus: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13. panta otro daļu ar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nosaka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13.</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w:t>
      </w:r>
      <w:r w:rsidR="00000000" w:rsidRPr="00000000" w:rsidDel="00000000">
        <w:rPr>
          <w:b w:val="1"/>
          <w:vertAlign w:val="superscript"/>
          <w:rtl w:val="0"/>
        </w:rPr>
        <w:t xml:space="preserve">1</w:t>
      </w:r>
      <w:r w:rsidR="00000000" w:rsidRPr="00000000" w:rsidDel="00000000">
        <w:rPr>
          <w:b w:val="1"/>
          <w:rtl w:val="0"/>
        </w:rPr>
        <w:t xml:space="preserve">  pants. Valsts zinātnisko institūciju saimnieciskā darbība un intelektuālā īpašuma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saskaņā ar tās investīciju un tehnoloģiju pārneses stratēģiju īsteno inovāciju, uzņēmējspēju veicinošu, tehnoloģiju un zināšanu pārneses procesu, ietverot gan atbalsta, gan motivāciju programmu ieviešanu, paredzot gan finanšu, gan citu resursu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zinātniskā institūcija ievēro pienācīgu rūpību, veicot ieguldījumus atbilstoši valsts zinātniskās institūcijas investīciju un tehnoloģiju pārneses stratēģijā noteiktajiem mērķiem un riska profilam.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zinātniskās institūcijas investīciju un tehnoloģiju pārneses stratēģijā,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intelektuālā īpašuma tiesību pārvaldības un izmantošanas politiku, kurā nosaka intelektuālā īpašuma pārvaldību un izmantošanu, tai skaitā licencēšanas, jaunuzņēmumu dibināšanas un atsavināšanas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tiek veikti ieguldījumi un nodrošinot pienācīgu rūpību atbilstoši valsts zinātniskās institūcijas darbības specifikai, dokumentēšanu un pēcuzraudzībai.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 institūcija tehnoloģiju pārneses un komercializācijas procesu rezultātā gūto peļņu var ieguldīt investīciju un tehnoloģiju pārneses stratēģijas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zinātniskā institūcija ir tiesīga piesaistīt investīcijas un aizņēmumus pētniecības un attīstības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zinātniskā institūcija, īstenojot investīciju un tehnoloģiju pārneses stratēģiju, var pretendēt uz valsts uzņēmējdarbības un pētniecības atbalsta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Īstenojot šā panta ceturtajā daļā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zinātniskajai institūcijai ir tiesības intelektuālo īpašumu ieguldīt konkrētā uzņēmuma pamatkapitālā, vai nodot to uzņēmumam īpašumā vai lietošanā, vienojoties ar uzņēmumu par nodošanas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zinātniskā institūcija konkrētā uzņēmuma izvēli sadarbības īstenošanai veic bez atlases procedūras, bet izvērtējot tā komercializācijas potenciālu ilgtermiņa atdevi valsts zinātniskā institūcijas turpmākas attīstības nodrošināšanai saskaņā ar investīciju un tehnoloģiju pārneses stratēģijā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valsts zinātniskā institūcija nepiemēro līdzvērtīgas tirgus cenas noteikšanas nosacījumus, tā ievēro komercdarbības atbalsta kontroles nosacījumus."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24-TA-2417</w:t>
    </w:r>
    <w:r>
      <w:br/>
    </w:r>
    <w:r w:rsidR="00000000" w:rsidRPr="00000000" w:rsidDel="00000000">
      <w:rPr>
        <w:rtl w:val="0"/>
      </w:rPr>
      <w:t xml:space="preserve">Izdrukāts 29.07.2026. 21.08 - 2.0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24-TA-2417</w:t>
    </w:r>
    <w:r>
      <w:br/>
    </w:r>
    <w:r w:rsidR="00000000" w:rsidRPr="00000000" w:rsidDel="00000000">
      <w:rPr>
        <w:rtl w:val="0"/>
      </w:rPr>
      <w:t xml:space="preserve">Izdrukāts 29.07.2026. 21.08 - 2.0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likumprojekts_(grozījumi)_24-TA-2417.docx</dc:title>
</cp:coreProperties>
</file>

<file path=docProps/custom.xml><?xml version="1.0" encoding="utf-8"?>
<Properties xmlns="http://schemas.openxmlformats.org/officeDocument/2006/custom-properties" xmlns:vt="http://schemas.openxmlformats.org/officeDocument/2006/docPropsVTypes"/>
</file>