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Dzīvojamās mājas apsekošanas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20.09.2011. noteikumu Nr. 720 redakcijā, kas grozīta ar MK 18.12.2018. noteikumiem Nr. 800)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377"/>
        <w:gridCol w:w="2239"/>
        <w:gridCol w:w="1185"/>
        <w:gridCol w:w="1568"/>
        <w:gridCol w:w="1281"/>
        <w:gridCol w:w="898"/>
        <w:tblGridChange w:id="0">
          <w:tblGrid>
            <w:gridCol w:w="514"/>
            <w:gridCol w:w="1377"/>
            <w:gridCol w:w="2239"/>
            <w:gridCol w:w="1185"/>
            <w:gridCol w:w="1568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datums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Apsekojamais objekts (dzīvojamā māja vai tās daļa, iekārtas vai elementa nosaukums, </w:t>
            </w:r>
            <w:r w:rsidR="00000000" w:rsidRPr="00000000" w:rsidDel="00000000">
              <w:rPr>
                <w:rtl w:val="0"/>
              </w:rPr>
              <w:t xml:space="preserve">inženiertīklu</w:t>
            </w:r>
            <w:r w:rsidR="00000000" w:rsidRPr="00000000" w:rsidDel="00000000">
              <w:rPr>
                <w:rtl w:val="0"/>
              </w:rPr>
              <w:t xml:space="preserve"> veids)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rezultāts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darbības bojājumu novēršanai (ja konstatēti bojājumi)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Apsekotājs (juridiskās personas nosaukums, fiziskās personas vārds, uzvārds)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</w:tr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22-TA-1046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22-TA-1046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noteikumu_konsolidētā_versija_p3_22-TA-1046.docx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