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 prioritātes "Klimata pārmaiņu mazināšana un pielāgošanās klimata pārmaiņām" 2.1.3. specifiskā atbalsta mērķa "Veicināt pielāgošanos klimata pārmaiņām, risku novēršanu un noturību pret katastrofām" 2.1.3.3. pasākuma "Katastrofu risku mazināšanas pasākumi" otrās projektu iesniegumu atlases kārtu (turpmāk – pasākuma otrā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otrajai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iesniedzējam pasākuma otrās kārtas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otrajā kārtā 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kārtas mērķis ir veicināt tehniskās kapacitātes celšanu un uzlabot Valsts ugunsdzēsības un glābšanas dienesta kopējo reaģētspēju, iegādājoties specializētos ugunsdzēsības un glābšanas transportlīdzekļus, pārvietojamos konteinerus un aprīkojumu.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otrās kārtas mērķa grupa ir Latvijas iedzīvotāji, Iekšlietu ministrija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Reģionālās attīstības fonda finansējumu pasākumam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otrās kārtas ietvaros atbildīgās iestādes funkcijas pilda Iekšlietu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otro kārtu īsteno līdz 2026. gada 31. decembrim, sasniedzot nacionālo rādītāju – iegādātas 390 specializēto ugunsdzēsības un glābšanas transportlīdzekļu, pārvietojamo konteineru un aprīkojuma vienības.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otrajai kārtai pieejamais kopējais attiecināmais finansējums ir 102 881 742 </w:t>
      </w:r>
      <w:r w:rsidR="00000000" w:rsidRPr="00000000" w:rsidDel="00000000">
        <w:rPr>
          <w:i w:val="1"/>
          <w:rtl w:val="0"/>
        </w:rPr>
        <w:t xml:space="preserve">euro</w:t>
      </w:r>
      <w:r w:rsidR="00000000" w:rsidRPr="00000000" w:rsidDel="00000000">
        <w:rPr>
          <w:rtl w:val="0"/>
        </w:rPr>
        <w:t xml:space="preserve">, tai skaitā valsts budžets, kas pārsniedz pasākuma otrajai kārtai pieejamo Eiropas Reģionālās attīstības fonda finansējumu, – 87 449 480 </w:t>
      </w:r>
      <w:r w:rsidR="00000000" w:rsidRPr="00000000" w:rsidDel="00000000">
        <w:rPr>
          <w:i w:val="1"/>
          <w:rtl w:val="0"/>
        </w:rPr>
        <w:t xml:space="preserve">euro </w:t>
      </w:r>
      <w:r w:rsidR="00000000" w:rsidRPr="00000000" w:rsidDel="00000000">
        <w:rPr>
          <w:rtl w:val="0"/>
        </w:rPr>
        <w:t xml:space="preserve">un valsts budžeta līdzfinansējums – 15 432 262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otrajā kārtā paredzēts īstenot vienu projektu "Speciālo ugunsdzēsības un glābšanas transportlīdzekļu iegāde". Projekta iesniedzējs ir Valsts ugunsdzēsības un glābšanas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 (turpmāk – finansējuma saņēmējs), sagatavo projekta iesniegumu atbilstoši projektu iesniegumu atlases nolikumā noteiktajām prasībām, pievienojot projektam veikto izmaksu un ieguvumu analīzi, un iesniedz tos sadarbības iestādē, izmantojot Kohēzijas politikas fondu vadības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atbalstāmās darbības ietver Valsts ugunsdzēsības un glābšanas dienesta darbības nodrošināšanai nepieciešamo specializēto ugunsdzēsības un glābšanas transportlīdzekļu, pārvietojamo konteineru un aprīkojuma iegādi.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tiešās attiecināmās izmaksas ietver specializēto ugunsdzēsības un glābšanas transportlīdzekļu, pārvietojamo konteineru un aprīkojuma iegādes izmaksas, transportlīdzekļu pirmreizējās reģistrācijas izmaksas, kā arī izmaksas saistībā ar transportlīdzekļu un iekārtu reģistrēšanu par operatīvajiem transportlīdzekļiem un bīstamām iekārtām, piegādes izmaksas, pirmreizējās civiltiesiskās atbildības obligātās apdrošināšanas izmaksas un transportlīdzekļu pirmreizējās tehniskās apskates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darbības tiek veiktas, izvēloties preču piegādātājus un pakalpojumu sniedzējus saskaņā ar normatīvajiem aktiem publisko iepirkumu jomā, īstenojot atklātu, pārredzamu, nediskriminējošu un konkurenci nodrošinošu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attiecināmām izmaksām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apakšpunktu, ja tie nav atgūstami saskaņā ar valsts normatīvajiem aktiem pievienotās vērtības nodokļa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otrās kārtas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izmaksas ir attiecināmas no 2023. gada 24. maija.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citos projektos piešķirto valsts un ārvalstu finanšu instrumentu atbalstu un neiestājas dubultā finansējuma risks.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iesniedzējam ir pienākums pirms pasākuma otrās projektu iesniegumu atlases kārtas izsludināšanas izstrādāt nosacījumus, kas paredz kārtību, kādā tiks nodrošināta interešu konflikta neesība, identificēti apstākļi, kuri izraisa vai var izraisīt interešu konfliktu vai kuri rada jebkāda veida apdraudējumu vai kaitējumu projekta īstenošanai, noteikti veicamie pasākumi un izstrādāti darbības plāni preventīvai novēršanai un gadījumiem, kad interešu konflikts, krāpšana, korupcija vai apdraudējums ir atklāts.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nodrošina, ka, pabeidzot projekta īstenošanu, projekta ietvaros iegādātās specializēto ugunsdzēsības un glābšanas transportlīdzekļu, pārvietojamo konteineru un aprīkojuma vienības atbilst apstiprinātajam projekta iesniegumam, ir parakstīti nodošanas un pieņemšanas akti par to piegādi un transportlīdzekļi ir reģistrēti kā operatīvie transportlīdzekļi.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uzkrāj datus par faktiski sasniegto šo noteikumu 7. punktā minēto rādītāju.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nodrošina projekta ietvaros sasniegto rezultātu ilgtspēju vismaz piecus gadus pēc noslēguma maksājuma veikšanas saskaņā ar regulas Nr.  </w:t>
      </w:r>
      <w:r w:rsidR="00000000" w:rsidRPr="00000000" w:rsidDel="00000000">
        <w:rPr>
          <w:rtl w:val="0"/>
        </w:rPr>
        <w:t xml:space="preserve">2021/1060</w:t>
      </w:r>
      <w:r w:rsidR="00000000" w:rsidRPr="00000000" w:rsidDel="00000000">
        <w:rPr>
          <w:rtl w:val="0"/>
        </w:rPr>
        <w:t xml:space="preserve"> 65. pantu.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saņēmējam ir pienākums nodrošināt komunikācijas un vizuālās identitātes prasības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i w:val="1"/>
          <w:rtl w:val="0"/>
        </w:rPr>
        <w:t xml:space="preserve"> (Svītrots)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25-TA-1942</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25-TA-1942</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noteikumu_konsolidētā_versija_25-TA-1942.docx</dc:title>
</cp:coreProperties>
</file>

<file path=docProps/custom.xml><?xml version="1.0" encoding="utf-8"?>
<Properties xmlns="http://schemas.openxmlformats.org/officeDocument/2006/custom-properties" xmlns:vt="http://schemas.openxmlformats.org/officeDocument/2006/docPropsVTypes"/>
</file>