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un asins komponentu donoru pieņemšanas kritēriji*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22.12.2009. noteikumiem Nr.1629)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Donoru vecums un ķermeņa svars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3856"/>
        <w:gridCol w:w="3856"/>
        <w:tblGridChange w:id="0">
          <w:tblGrid>
            <w:gridCol w:w="1928"/>
            <w:gridCol w:w="3856"/>
            <w:gridCol w:w="3856"/>
          </w:tblGrid>
        </w:tblGridChange>
      </w:tblGrid>
      <w:tr>
        <w:tc>
          <w:tcPr>
            <w:shd w:fill="ffffff"/>
            <w:vAlign w:val="center"/>
            <w:trHeight w="exact" w:val="3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1.1.Vecums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 līdz 65 gadiem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 līdz 18gadiem</w:t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saskaņā ar tiesību aktiem donors nav nepilngadīga persona vai ja ir vecāku vai likumīga aizbildņa rakstiska piekrišana, kas atbilst tiesību aktos noteiktajām prasībām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donori, vecāki par 60 gadiem, kas nodod asinis/asins komponentus pirmo reizi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ārsta ieskatiem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 par 65 gadiem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ārsta atļauju, ko izdod katru gadu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1.2.Ķermeņa svars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50 kg asins vai aferēzes asins komponentu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Hemoglobīna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38"/>
        <w:gridCol w:w="2121"/>
        <w:gridCol w:w="1831"/>
        <w:gridCol w:w="3856"/>
        <w:tblGridChange w:id="0">
          <w:tblGrid>
            <w:gridCol w:w="1638"/>
            <w:gridCol w:w="2121"/>
            <w:gridCol w:w="1831"/>
            <w:gridCol w:w="38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Hemoglobīns*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 </w:t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125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Vīriešiem </w:t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135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Piemērojams asins un šūnu komponentu homologajiem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Sakarā ar asins trūkuma risku, kuru izraisījusi A (H1N1) gripas pandēmija, uz laiku līdz 2010.gada 30.jūnijam Hb līmenis nosakāms: sievietēm </w:t>
      </w:r>
      <w:r w:rsidR="00000000" w:rsidRPr="00000000" w:rsidDel="00000000">
        <w:rPr>
          <w:u w:val="single"/>
          <w:rtl w:val="0"/>
        </w:rPr>
        <w:t xml:space="preserve">&gt; </w:t>
      </w:r>
      <w:r w:rsidR="00000000" w:rsidRPr="00000000" w:rsidDel="00000000">
        <w:rPr>
          <w:rtl w:val="0"/>
        </w:rPr>
        <w:t xml:space="preserve"> 120 g/l, vīriešiem </w:t>
      </w:r>
      <w:r w:rsidR="00000000" w:rsidRPr="00000000" w:rsidDel="00000000">
        <w:rPr>
          <w:u w:val="single"/>
          <w:rtl w:val="0"/>
        </w:rPr>
        <w:t xml:space="preserve">&gt; </w:t>
      </w:r>
      <w:r w:rsidR="00000000" w:rsidRPr="00000000" w:rsidDel="00000000">
        <w:rPr>
          <w:rtl w:val="0"/>
        </w:rPr>
        <w:t xml:space="preserve"> 130 g/l (stājas spēkā, ja kompetentā valsts iestāde izsludina A (H1N1) gripas epidēmiju un no Valsts asinsdonoru centra ir saņemta informācija, ka ir iestājies asins trūkuma risks).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Olbaltumvielu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1928"/>
        <w:gridCol w:w="5784"/>
        <w:tblGridChange w:id="0">
          <w:tblGrid>
            <w:gridCol w:w="1928"/>
            <w:gridCol w:w="1928"/>
            <w:gridCol w:w="578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60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noteikšana aferēzes plazmas donoriem jāveic vismaz reizi gadā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Trombocītu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2892"/>
        <w:gridCol w:w="4820"/>
        <w:tblGridChange w:id="0">
          <w:tblGrid>
            <w:gridCol w:w="1928"/>
            <w:gridCol w:w="2892"/>
            <w:gridCol w:w="4820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skaits ir 150 ×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/l vai lielāks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trombocītu donoriem nepieciešamais līmenis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*Kritēriji neattiecas uz autologajām asinīm un asins komponentiem.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