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12. maijā (prot. Nr. 27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(Latvijas Vēstnesis, 2023, 232. nr.; 2024, 32., 138. nr.; 2025, 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programmas iznākuma rādītājs – bezdarbnieki, tostarp ilgstošie bezdarbnieki, – 9846, tai skaitā līdz 2024. gada 31. decembrim – 628;".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programmas iznākuma rādītājs – nodarbinātas personas, tostarp pašnodarbinātas personas, – 627;".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ietvaros plānotais kopējais attiecināmais finansējums ir 65 220 765 </w:t>
      </w:r>
      <w:r w:rsidR="00000000" w:rsidRPr="00000000" w:rsidDel="00000000">
        <w:rPr>
          <w:i w:val="1"/>
          <w:rtl w:val="0"/>
        </w:rPr>
        <w:t xml:space="preserve">euro</w:t>
      </w:r>
      <w:r w:rsidR="00000000" w:rsidRPr="00000000" w:rsidDel="00000000">
        <w:rPr>
          <w:rtl w:val="0"/>
        </w:rPr>
        <w:t xml:space="preserve">, tai skaitā ESF+ finansējums – 55 437 650 </w:t>
      </w:r>
      <w:r w:rsidR="00000000" w:rsidRPr="00000000" w:rsidDel="00000000">
        <w:rPr>
          <w:i w:val="1"/>
          <w:rtl w:val="0"/>
        </w:rPr>
        <w:t xml:space="preserve">euro</w:t>
      </w:r>
      <w:r w:rsidR="00000000" w:rsidRPr="00000000" w:rsidDel="00000000">
        <w:rPr>
          <w:rtl w:val="0"/>
        </w:rPr>
        <w:t xml:space="preserve"> un valsts budžeta līdzfinansējums – 9 783 115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Īstenojot šo noteikumu 14.1. un 14.2. apakšpunktā minēto atbalstāmo darbību, finansējuma saņēmējs šo noteikumu 16.3.1.2.2. un 16.3.2. apakšpunktā minēto dotāciju piešķir darba devējam tikai par tādiem darba vietas pielāgojumiem, par kuriem darba devējs pēdējo piecu gadu laikā nav saņēmis vienreizēju dotāciju konkrētās personas ar invaliditāti darba vietas pielāgošanai saskaņā ar darbības programmas "Izaugsme un nodarbinātība" 9.1.1. specifiskā atbalsta mērķa "Palielināt nelabvēlīgākā situācijā esošu bezdarbnieku iekļaušanos darba tirgū" 9.1.1.1. pasākumu "Subsidētās darbavietas nelabvēlīgākā situācijā esošiem bezdarbniekiem", 7.1.1. specifisko atbalsta mērķi "Paaugstināt bezdarbnieku kvalifikāciju un prasmes atbilstoši darba tirgus pieprasījumam" un 14.1.2. specifisko atbalsta mērķi "Atveseļošanas pasākumi labklājības jomā", šo pasākumu,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pasākumu "Bezdarbnieku, darba meklētāju un bezdarba riskam pakļauto personu kvalifikācijas un prasmju paaugstināšana" un 4.3.3.5. pasākumu "Ilgāka un labāka darba mūža veicināšana", kā arī Eiropas Savienības Atveseļošanas un noturības mehānisma plāna 3.1. reformu un investīciju virziena "Reģionālā politika" 3.1.2. reformas "Sociālo un nodarbinātības pakalpojumu pieejamība minimālo ienākumu reformas atbalstam" 3.1.2.5.i. investīciju "Bezdarbnieku, darba meklētāju un bezdarba riskam pakļauto iedzīvotāju iesaiste darba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30.2.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w:t>
      </w:r>
      <w:r w:rsidR="00000000" w:rsidRPr="00000000" w:rsidDel="00000000">
        <w:rPr>
          <w:vertAlign w:val="superscript"/>
          <w:rtl w:val="0"/>
        </w:rPr>
        <w:t xml:space="preserve">1</w:t>
      </w:r>
      <w:r w:rsidR="00000000" w:rsidRPr="00000000" w:rsidDel="00000000">
        <w:rPr>
          <w:rtl w:val="0"/>
        </w:rPr>
        <w:t xml:space="preserve"> šo noteikumu 14.9. apakšpunktā minētās atbalstāmās darbības īstenošanā nodrošina vismaz vienu sabiedrības informēšanas pasākumu atbilstoši regulas 2021/1060 50. panta 1. punkta "e"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30.12.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"30.12. piesaistot šo noteikumu 14. punktā minēto atbalstāmo darbību veikšanai nepieciešamo personālu, nodrošina, ka projekta īstenošanas laikā tiek ievēroti interešu konflikta, korupcijas un krāpšanas novēršanas nosacījumi, vismaz paredzot, ka projekta vadībā un īstenošanā iesaistītais personāls ir informēts par korupcijas un interešu konflikta novēršanas jautājumiem un krāpšanas pazīmēm, pienākumu ziņot par konstatētajām aizdomām, kā arī ir informēts par ziņotāju aizsardzību atbilstoši Trauksmes celšanas 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30.13.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"30.13. nodrošina, ka projekta īstenošanas laikā atbilstoši regulas 2024/2509 61. pantam un normatīvajiem aktiem publisko iepirkumu jomā tiek ievēroti interešu konflikta, korupcijas un krāpšanas novēršanas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Finanšu atbalstu (turpmāk – </w:t>
      </w:r>
      <w:r w:rsidR="00000000" w:rsidRPr="00000000" w:rsidDel="00000000">
        <w:rPr>
          <w:i w:val="1"/>
          <w:rtl w:val="0"/>
        </w:rPr>
        <w:t xml:space="preserve">de minimis</w:t>
      </w:r>
      <w:r w:rsidR="00000000" w:rsidRPr="00000000" w:rsidDel="00000000">
        <w:rPr>
          <w:rtl w:val="0"/>
        </w:rPr>
        <w:t xml:space="preserve"> atbalsts) darba devējam (turpmāk – atbalsta saņēmējs) par šo noteikumu 16.3.1., 16.3.2. un 16.3.4.1. apakšpunktā minētajām izmaksām finansējuma saņēmējs (turpmāk šajā nodaļā – atbalsta sniedzējs) sniedz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regula 2023/2831)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regula 717/2014), kā arī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ciktāl šie noteikumi nenosaka citādi. Šo noteikumu 16.3.2. apakšpunktā minētās izmaksas ir kvalificējamas kā </w:t>
      </w:r>
      <w:r w:rsidR="00000000" w:rsidRPr="00000000" w:rsidDel="00000000">
        <w:rPr>
          <w:i w:val="1"/>
          <w:rtl w:val="0"/>
        </w:rPr>
        <w:t xml:space="preserve">de minimis</w:t>
      </w:r>
      <w:r w:rsidR="00000000" w:rsidRPr="00000000" w:rsidDel="00000000">
        <w:rPr>
          <w:rtl w:val="0"/>
        </w:rPr>
        <w:t xml:space="preserve"> atbalsts valsts vai pašvaldības iestādei, ja tā nav iekļauta Nodarbinātības valsts aģentūras apstiprinātajā valsts un pašvaldību iestāžu sarakstā, kurām komercdarbības atbalsta nosacījumi netiek piemēroti, jo tām nav konstatētas komercdarbības atbalstu raksturojošās pazīmes."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26-TA-298</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26-TA-298</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noteikumu_(grozījumu)_projekts_26-TA-298.docx</dc:title>
</cp:coreProperties>
</file>

<file path=docProps/custom.xml><?xml version="1.0" encoding="utf-8"?>
<Properties xmlns="http://schemas.openxmlformats.org/officeDocument/2006/custom-properties" xmlns:vt="http://schemas.openxmlformats.org/officeDocument/2006/docPropsVTypes"/>
</file>