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452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</w:t>
      </w:r>
      <w:fldSimple w:instr=" MERGEFIELD =TAP_RIK_DATUMS_LOK * MERGEFORMAT ">
        <w:r>
          <w:rPr>
            <w:noProof/>
          </w:rPr>
          <w:t>&lt;&lt;=TAP_RIK_DATUMS_LOK&gt;&gt;</w:t>
        </w:r>
      </w:fldSimple>
      <w:r w:rsidR="00000000" w:rsidRPr="00000000" w:rsidDel="00000000">
        <w:rPr>
          <w:rtl w:val="0"/>
        </w:rPr>
        <w:t xml:space="preserve"> (prot. Nr. 40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publiskā nodibinājuma "Valsts kultūrkapitāla fonds"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Valsts kultūrkapitāla fonda likuma 9. panta trešo daļu apstiprināt Valsts kultūrkapitāla fonda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Bluķe – Mūzikas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Dundure – Latvijas Pašvaldību savienības padomniece izglītības un kultūras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Ernštreits – Nacionālās kultūras padomes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Grūbe – Dizaina un arhitektūras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Kalniņš – Kultūras mantojuma nozares ekspertu komisijas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Kokareviča – Literatūras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Lejietis – Finanšu ministrijas Budžeta departamenta Izglītības, zinātnes, kultūras, sporta finansēšanas nodaļas vadītāja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Pavlova – Latvijas Radošo savienību padomes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Puntulis – kultūras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Silapētere-Gavuaja – Vizuālās mākslas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Šiliņa – Skatuves mākslu (teātra mākslas)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Vītola – Tradicionālās kultūras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A. Zača – Filmu mākslas nozares ekspertu komisijas priekšsēdētāja.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2024. gada 27. augusta rīkojumu Nr. 695 "Par publiskā nodibinājuma "Valsts kultūrkapitāla fonds" padomi" (Latvijas Vēstnesis, 2024, 168. nr.; 2025, 6., 159. nr.; 2026, 73.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26-TA-1332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26-TA-1332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