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352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jūnijā (prot. Nr. 32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"</w:t>
      </w:r>
      <w:r w:rsidR="00000000" w:rsidRPr="00000000" w:rsidDel="00000000">
        <w:rPr>
          <w:rtl w:val="0"/>
        </w:rPr>
        <w:t xml:space="preserve">Par valsts budžetu 2023. gadam un budžeta ietvaru 2023., 2024. un 2025. gadam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58. panta</w:t>
      </w:r>
      <w:r w:rsidR="00000000" w:rsidRPr="00000000" w:rsidDel="00000000">
        <w:rPr>
          <w:rtl w:val="0"/>
        </w:rPr>
        <w:t xml:space="preserve"> otrajai daļai atbalstīt apropriācijas palielināšanu Zemkopības ministrijai resursiem no dotācijas no vispārējiem ieņēmumiem un izdevumiem budžeta programmā 97.00.00 "Nozaru vadība un politikas plānošana" 7157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daļēju finansējumu kapitālieguldījumiem administratīvās ēkas iekštelpu un kāpņu, apkures un ugunsdrošības sistēmas remontā valsts īpašumā Liepu ielā 33, Rēzeknē (nekustamā īpašuma kadastra Nr. 2100 018 0201).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23-TA-988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23-TA-988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