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691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29. oktobrī (prot. Nr. 46 76.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Likuma par budžetu un finanšu vadību</w:t>
      </w:r>
      <w:r w:rsidR="00000000" w:rsidRPr="00000000" w:rsidDel="00000000">
        <w:rPr>
          <w:rStyle w:val="paragraph"/>
          <w:i w:val="1"/>
          <w:rtl w:val="0"/>
        </w:rPr>
        <w:t xml:space="preserve"> 19.</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panta otro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(Latvijas Vēstnesis, 2023, 10., 158. nr.; 2024, 132.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Kopējais attiecināmais finansējums atbalsta programmai ir 36 140 000 </w:t>
      </w:r>
      <w:r w:rsidR="00000000" w:rsidRPr="00000000" w:rsidDel="00000000">
        <w:rPr>
          <w:i w:val="1"/>
          <w:rtl w:val="0"/>
        </w:rPr>
        <w:t xml:space="preserve">euro</w:t>
      </w:r>
      <w:r w:rsidR="00000000" w:rsidRPr="00000000" w:rsidDel="00000000">
        <w:rPr>
          <w:rtl w:val="0"/>
        </w:rPr>
        <w:t xml:space="preserve">, tai skaitā Atveseļošanas fonda finansējums ir 36 000 000 </w:t>
      </w:r>
      <w:r w:rsidR="00000000" w:rsidRPr="00000000" w:rsidDel="00000000">
        <w:rPr>
          <w:i w:val="1"/>
          <w:rtl w:val="0"/>
        </w:rPr>
        <w:t xml:space="preserve">euro </w:t>
      </w:r>
      <w:r w:rsidR="00000000" w:rsidRPr="00000000" w:rsidDel="00000000">
        <w:rPr>
          <w:rtl w:val="0"/>
        </w:rPr>
        <w:t xml:space="preserve">un valsts budžeta finansējums pievienotās vērtības nodokļa segšanai – ne vairāk kā 140 000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 darbībām, kuras veic Ekonomikas ministrija un Latvijas Investīciju un attīstības aģentūra, lai atbalsta programmas īstenošanas laikā novērstu korupcijas, krāpšanas, interešu konflikta principus saskaņā ar Eiropas Parlamenta un Padomes 2024. gada 23. septembra Regulas (ES, Euratom) 2024/2509 par finanšu noteikumiem, ko piemēro Savienības vispārējam budžetam (turpmāk – regula Nr. 2024/2509), 61. pantu un dubultfinansējuma risku arī gala labuma guvēja līmenī;".</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14.3.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"14.3. tiek konstatēta korupcijas, krāpšanas, interešu konflikta principu neievērošana saskaņā ar regulas Nr. 2024/2509 61. pantu un dubultfinansējuma pārkāpumi;".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24.2.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"24.2. 15 darbdienu laikā no projekta iesnieguma iesniegšanas izvērtēt to atbilstoši šo noteikumu prasībām, kā arī izvērtēt, vai uz Latvijas Investīciju un attīstības aģentūru nav attiecināmi kritēriji, kas noteikti regulas Nr. 2024/2509 138. pantā, un, ja nepieciešams, lūgt Latvijas Investīciju un attīstības aģentūru papildināt un precizēt projekta iesnieguma veidlapā norādīto informāciju, bet ne vairāk kā divas reizes, nosakot arī termiņus precizējumu un papildinājumu iesniegšanai. Ja Latvijas Investīciju un attīstības aģentūra projekta iesniegumu ir iesniegusi atbilstoši šo noteikumu prasībām un neatbilst izslēgšanas kritērijiem, un precizējusi, ja nepieciešams, projekta iesniegumu atbilstoši Ekonomikas ministrijas noteiktajām prasībām, izpildot šajā apakšpunktā minētos nosacījumus, Ekonomikas ministrija pieņem lēmumu par projekta iesnieguma apstiprināšanu un vienošanās noslēgšanu par Atveseļošanas fonda finansējuma pārvaldīšanu, tā piešķiršanas, izlietošanas un uzraudzības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24.7.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"24.7. nodrošināt korupcijas, krāpšanas, interešu konflikta novēršanas principu pārbaudes saskaņā ar regulas Nr. 2024/2509 61. pantu, kā arī dubultfinansējuma riska novēršanas un sasniegto mērķu pamatojošās dokumentācijas pārbaudes izlases veidā, tai skaitā datu ticamības pārbaudes."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25.11.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"25.11. izlases veidā veikt pārbaudes gala labuma guvēju līmenī un nodrošināt korupcijas, krāpšanas, interešu konflikta novēršanas principu ievērošanu saskaņā ar regulas Nr. 2024/2509 61. pantu, kā arī dubultfinansējuma riska novēršanu un sasniegtos mērķus pamatojošās dokumentācijas pārbaudes, tai skaitā datu ticamības pārbaudes;".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34.4.1.9.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"34.4.1.9. uz to attiecas līdzekļu atgūšanas rīkojums, kas minēts Komisijas regulas Nr. 651/2014 1. panta 4. punkta "a" apakšpunktā, ja atbalsts tiek sniegts saskaņā ar Komisijas regulu Nr. 651/2014. Šo nosacījumu vērtē uzņēmuma grupas līmenī;".</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66.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"66. Gala labuma guvēja lielumu un to, vai gala labuma guvējs neatbilst grūtībās nonākuša uzņēmēja statusam saskaņā ar Komisijas regulas Nr. 651/2014 2. panta 18. punkta nosacījumiem, Latvijas Investīciju un attīstības aģentūra vērtē uz brīdi, kad tiek pieņemts lēmums par komercdarbības atbalsta piešķiršanu. To, vai gala labuma guvējs neatbilst grūtībās nonākuša uzņēmuma statusam, vērtē grupas līmenī."</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83.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"83.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24-TA-2692</w:t>
    </w:r>
    <w:r>
      <w:br/>
    </w:r>
    <w:r w:rsidR="00000000" w:rsidRPr="00000000" w:rsidDel="00000000">
      <w:rPr>
        <w:rtl w:val="0"/>
      </w:rPr>
      <w:t xml:space="preserve">Izdrukāts 29.07.2026. 23.35 - 1.0.VK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24-TA-2692</w:t>
    </w:r>
    <w:r>
      <w:br/>
    </w:r>
    <w:r w:rsidR="00000000" w:rsidRPr="00000000" w:rsidDel="00000000">
      <w:rPr>
        <w:rtl w:val="0"/>
      </w:rPr>
      <w:t xml:space="preserve">Izdrukāts 29.07.2026. 23.35 - 1.0.VK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noteikumu_(grozījumu)_projekts_24-TA-2692.docx</dc:title>
</cp:coreProperties>
</file>

<file path=docProps/custom.xml><?xml version="1.0" encoding="utf-8"?>
<Properties xmlns="http://schemas.openxmlformats.org/officeDocument/2006/custom-properties" xmlns:vt="http://schemas.openxmlformats.org/officeDocument/2006/docPropsVTypes"/>
</file>