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arodslimība noteikta pirmreizēji*.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Valsts darba inspekcijai nosūtītā ziņojuma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Arodslimību diagnozes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Darbavietas nosaukums, kurā pacientam bijis kontakts ar kaitīgo darba faktoru*.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Darba stāžs: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kopējais darba stāžs*;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darba stāžs kaitīgajā profesijā*.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Profesija arodslimības izraisītājfaktora iedarbības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Saimnieciskā darbība arodslimības izraisītājfaktora iedarbības laikā saskaņā ar NACE 2. red. (Saimniecisko darbību statistiskās klasifikācijas 2. redakcija)*.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Arodslimības pirmreizējās atzīšanas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Slimības smaguma pakāpe arodslimības pirmreizējās atzīšanas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Arodslimību un to izraisītājfaktoru klasifikācija atbilstoši arodslimību izmeklēšanu un uzskaiti regulējošajiem normatīvajiem aktiem: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14.1. arodslimība*;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14.2. konkrētā arodslimības izraisītājfaktora noteicošās arodslimības diagnoze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14.3. arodslimību izraisītājfaktors*;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14.4. arodslimību izraisītājfaktora lietojuma kategorija*;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14.5. kaitīgā arodfaktora faktiskā koncentrācija vai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14.6. kaitīgā arodfaktora faktiskā koncentrācija vai līmenis pārsniedz normu*.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