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 nodaļā/stacionāra ambulatorajā daļā*.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 traumas/ievainojuma/saindēšanās gūšanas brīdī*.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 statistiskās slimību un veselības problēmu klasifikācijas 10. redakcijai 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 cēloņi)*.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 un aktīvais ingredients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 	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