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725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8. novembrī (prot. Nr. 56 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2019. gada 14. augusta rīkojumā Nr. 388 "Par Ārlietu ministrijai piešķirto finansējumu Latvijas Republikas pastāvīgās pārstāvniecības Eiropas Savienībā ēkas 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Avenue des Arts</w:t>
      </w:r>
      <w:r w:rsidR="00000000" w:rsidRPr="00000000" w:rsidDel="00000000">
        <w:rPr>
          <w:rStyle w:val="paragraph_header"/>
          <w:b w:val="1"/>
          <w:rtl w:val="0"/>
        </w:rPr>
        <w:t xml:space="preserve"> 23, Briselē, Beļģijas Karalistē, nomas maksas un uzturēšanas izdevumu segšanai"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2019. gada 14. augusta rīkojumā Nr. 388 "Par Ārlietu ministrijai piešķirto finansējumu Latvijas Republikas pastāvīgās pārstāvniecības Eiropas Savienībā ēkas </w:t>
      </w:r>
      <w:r w:rsidR="00000000" w:rsidRPr="00000000" w:rsidDel="00000000">
        <w:rPr>
          <w:i w:val="1"/>
          <w:rtl w:val="0"/>
        </w:rPr>
        <w:t xml:space="preserve">Avenue des Arts</w:t>
      </w:r>
      <w:r w:rsidR="00000000" w:rsidRPr="00000000" w:rsidDel="00000000">
        <w:rPr>
          <w:rtl w:val="0"/>
        </w:rPr>
        <w:t xml:space="preserve"> 23, Briselē, Beļģijas Karalistē, nomas maksas un uzturēšanas izdevumu segšanai" (Latvijas Vēstnesis, 2019, 166.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"1.1. ilgtermiņa saistībām nomas maksas izdevumu segšanai valsts akciju sabiedrībai "Valsts nekustamie īpašumi":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1.1.1. no 2020. gada līdz 2021. gadam katru gadu 386 358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1.1.2. no 2022. gada līdz 2023. gadam katru gadu 523 578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1.1.3. no 2024. gada līdz 2028. gadam katru gadu 610 160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23-TA-2255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23-TA-2255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rīkojuma_(grozījumu)_projekts_23-TA-2255.docx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