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piesārņojumu"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piesārņojumu" (Latvijas Republikas Saeimas un Ministru Kabineta Ziņotājs, 2001, 9. nr.; 2002, 16. nr.; 2004, 2. nr.; 2005, 5. nr.; 2006, 9. nr.; 2007, 21., 23. nr.; 2009, 12. nr.; Latvijas Vēstnesis, 2009, 205. nr.; 2010, 104., 206. nr.; 2011, 120. nr.; 2013, 36. nr.; 2014, 38. nr.; 2016, 123. nr.; 2018, 36., 84. nr.; 2020, 119C., 247. nr.; 2021, 248B.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18.</w:t>
      </w:r>
      <w:r w:rsidR="00000000" w:rsidRPr="00000000" w:rsidDel="00000000">
        <w:rPr>
          <w:vertAlign w:val="superscript"/>
          <w:rtl w:val="0"/>
        </w:rPr>
        <w:t xml:space="preserve">1</w:t>
      </w:r>
      <w:r w:rsidR="00000000" w:rsidRPr="00000000" w:rsidDel="00000000">
        <w:rPr>
          <w:rtl w:val="0"/>
        </w:rPr>
        <w:t xml:space="preserve"> panta trešo daļu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un kārtību, kādā novērtē satiksmes un rūpniecisko objektu radīto vides troksni."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3</w:t>
      </w:r>
      <w:r w:rsidR="00000000" w:rsidRPr="00000000" w:rsidDel="00000000">
        <w:rPr>
          <w:rtl w:val="0"/>
        </w:rPr>
        <w:t xml:space="preserve"> panta 8.</w:t>
      </w:r>
      <w:r w:rsidR="00000000" w:rsidRPr="00000000" w:rsidDel="00000000">
        <w:rPr>
          <w:vertAlign w:val="superscript"/>
          <w:rtl w:val="0"/>
        </w:rPr>
        <w:t xml:space="preserve">1</w:t>
      </w:r>
      <w:r w:rsidR="00000000" w:rsidRPr="00000000" w:rsidDel="00000000">
        <w:rPr>
          <w:rtl w:val="0"/>
        </w:rPr>
        <w:t xml:space="preserve">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Operators vai gaisa kuģa operators, kas gūst finanšu līdzekļus no darījumiem ar tam bez maksas piešķirtajām emisijas kvotām, attiecīgos finanšu līdzekļus izlieto, lai kompensētu iepriekš veiktos vai plānotos siltumnīcefekta gāzu emisiju samazināšanas pasākumus, to skaitā šādus pasākumus:".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V</w:t>
      </w:r>
      <w:r w:rsidR="00000000" w:rsidRPr="00000000" w:rsidDel="00000000">
        <w:rPr>
          <w:vertAlign w:val="superscript"/>
          <w:rtl w:val="0"/>
        </w:rPr>
        <w:t xml:space="preserve">3</w:t>
      </w:r>
      <w:r w:rsidR="00000000" w:rsidRPr="00000000" w:rsidDel="00000000">
        <w:rPr>
          <w:rtl w:val="0"/>
        </w:rPr>
        <w:t xml:space="preserve"> nodaļu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3</w:t>
      </w:r>
      <w:r w:rsidR="00000000" w:rsidRPr="00000000" w:rsidDel="00000000">
        <w:rPr>
          <w:b w:val="1"/>
          <w:rtl w:val="0"/>
        </w:rPr>
        <w:t xml:space="preserve"> nodaļa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Modernizācijas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12</w:t>
      </w:r>
      <w:r w:rsidR="00000000" w:rsidRPr="00000000" w:rsidDel="00000000">
        <w:rPr>
          <w:b w:val="1"/>
          <w:rtl w:val="0"/>
        </w:rPr>
        <w:t xml:space="preserve"> pants. Modernizācijas fonda ietvars un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katru gadu līdz 2030. gada 31. decembrim atbilstoši Modernizācijas fonda darbības periodam iesniedz Eiropas Investīciju bankā un Modernizācijas fonda ietvaros izveidotajā Investīciju komitejā investīciju priekšlikumus atbilstoši šā panta piektajā daļā minētajai Modernizācijas fonda daudzgadu darbības programmai un šā likuma 32.</w:t>
      </w:r>
      <w:r w:rsidR="00000000" w:rsidRPr="00000000" w:rsidDel="00000000">
        <w:rPr>
          <w:vertAlign w:val="superscript"/>
          <w:rtl w:val="0"/>
        </w:rPr>
        <w:t xml:space="preserve">13</w:t>
      </w:r>
      <w:r w:rsidR="00000000" w:rsidRPr="00000000" w:rsidDel="00000000">
        <w:rPr>
          <w:rtl w:val="0"/>
        </w:rPr>
        <w:t xml:space="preserve"> panta ceturtajā daļā minētajiem projektu iesniegumu konkursiem, lai saņemtu Latvijai pieejamo Eiropas Investīciju bankas turējumā esošo Modernizācijas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Eiropas Komisijas lēmuma pieņemšanas par finansējuma izmaksu Modernizācijas fonda finansējumu ieskaita Valsts kasē atvērtajā valsts pamatbudžeta ieņēmumu kontā atbilstoši valsts budžeta ieņēmumu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pamatbudžetā kārtējam gadam un ilgtermiņa saistībās turpmākajiem gadiem finansējumu šā likuma 32.</w:t>
      </w:r>
      <w:r w:rsidR="00000000" w:rsidRPr="00000000" w:rsidDel="00000000">
        <w:rPr>
          <w:vertAlign w:val="superscript"/>
          <w:rtl w:val="0"/>
        </w:rPr>
        <w:t xml:space="preserve">13</w:t>
      </w:r>
      <w:r w:rsidR="00000000" w:rsidRPr="00000000" w:rsidDel="00000000">
        <w:rPr>
          <w:rtl w:val="0"/>
        </w:rPr>
        <w:t xml:space="preserve"> pantā minētajiem izmantošanas virzieniem paredz kā dotāciju no vispārējiem ieņēmumiem atsevišķā Vides aizsardzības un reģionālās attīstības ministrijas budžeta programmā (apakšprogrammā) atbilstoši projektu īstenošanas nosacījumiem, to apstiprināšanas kārtībai un īstenošanas laika grafikiem, nepārsniedzot maksimāli saņemto Modernizācijas fonda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minētās programmas (apakšprogrammas) izpildītāja ir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Modernizācijas fonda īstenošanas noteikumus un apstiprina Modernizācijas fonda daudzgadu darbības programmu. No Modernizācijas fonda finansējuma investēšanas funkcijām izrietošos valsts pārvaldes uzdevumus deleģē privātpersonai vai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Izpildot deleģētos uzdevumus, privātpersona vai publiska persona, kas noteikta normatīvajos aktos, kuri izdoti saskaņā ar šā panta piekto daļu, atrodas Vides aizsardzības un reģionālās attīstības ministrijas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13</w:t>
      </w:r>
      <w:r w:rsidR="00000000" w:rsidRPr="00000000" w:rsidDel="00000000">
        <w:rPr>
          <w:b w:val="1"/>
          <w:rtl w:val="0"/>
        </w:rPr>
        <w:t xml:space="preserve"> pants. Modernizācijas fonda finansējuma izlietošana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sniegtu papildu ieguldījumu Latvijas virzībā uz klimatneitralitāti, Modernizācijas fonda finansējumu izmanto pasākumu īstenošanai siltumnīcefekta gāzu emisiju samazināšanai, tai skaitā vismaz 70 procentus no kopējā Latvijai pieejamā Modernizācijas fonda finansējuma apmēra izmanto, atbalstot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ražošanā un izmantošanā no atjaunojamiem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energoefektivitātes uzlabošanā (izņemot energoefektivitātes uzlabošanas pasākumus, kas saistīti ar enerģijas ražošanu no cietajiem fosilajiem energoresursiem), tai skaitā transporta, lauksaimniecības, atkritumu apsaimniekošanas nozarēs un ēku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enerģijas uzglabāšanā, tai skaitā elektroenerģijas uzkrātuvju iegādē un uzstādīšanā;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centralizētās siltumapgādes tīklu modernizēšanā, kā arī elektroenerģijas pārvades un sadales tīklu modernizēšanā, tai skaitā viedo risinājumu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elektroenerģijas pārvades tīklu starpsavienojumu starp Eiropas Savienības dalībvalstīm palielināšanā, modernizēšanā vai caurlaides spējas paaugstināšanā;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pasākumos saistībā ar darba ņēmēju pārcelšanu, pārkvalificēšanu, kvalifikācijas celšanu un izglītošanu, darba meklēšanas iniciatīvās un jaunuzņēmumos taisnīgas pārkārtošanās uz klimatneitrālu ekonomiku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finansējumu nepiešķir sadedzināšanas iekārtām, kurās izmanto cietos fosilos energoresursus.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pirms finansējuma piešķiršanas šā panta pirmajā daļā minētajiem pasākumiem saskaņo to ar Investīciju komiteju un Eiropas Investīciju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Modernizācijas fonda finansējuma izmantošanu nodrošina, organizējot projektu iesniegumu konkursus. Ministru kabinets izdod projektu iesniegumu konkursu nolikumus, kuros nosaka projektu iesniegumu vērtēšanas kritērijus, projektu iesniegumu iesniegšanas, izskatīšanas, apstiprināšanas un finansējuma piešķiršanas kārtību, projektu īstenošanas kārtību, kā arī pārskatu iesniegšanas un pārbaudes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14</w:t>
      </w:r>
      <w:r w:rsidR="00000000" w:rsidRPr="00000000" w:rsidDel="00000000">
        <w:rPr>
          <w:b w:val="1"/>
          <w:rtl w:val="0"/>
        </w:rPr>
        <w:t xml:space="preserve"> pants. Ziņošanas nosacījumi saistībā ar Modernizācijas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sadarbībā ar Ekonomikas ministriju un saskaņā ar Eiropas Komisijas 2020. gada 9. jūlija īstenošanas regulas Nr.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(turpmāk – Regula Nr. 2020/1001), 3. pantu sagatavo un katru gadu līdz 30. novembrim iesniedz Eiropas Investīciju bankā un Investīciju komitejā investīciju apskatu.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sadarbībā ar Ekonomikas ministriju un šā likuma 32.</w:t>
      </w:r>
      <w:r w:rsidR="00000000" w:rsidRPr="00000000" w:rsidDel="00000000">
        <w:rPr>
          <w:vertAlign w:val="superscript"/>
          <w:rtl w:val="0"/>
        </w:rPr>
        <w:t xml:space="preserve">12</w:t>
      </w:r>
      <w:r w:rsidR="00000000" w:rsidRPr="00000000" w:rsidDel="00000000">
        <w:rPr>
          <w:rtl w:val="0"/>
        </w:rPr>
        <w:t xml:space="preserve"> panta sestajā daļā minēto privātpersonu vai publisku personu (ja attiecināms) sagatavo un katru gadu līdz 31. martam iesniedz Ministru kabinetā informatīvo ziņojumu par Modernizācijas fonda finansējuma izlietojumu iepriekšējā gadā, tai skaitā informāciju par finansētajiem pasākumiem un panākto siltumnīcefekta gāzu emisijas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saskaņā ar Regulas Nr. 2020/1001 13. pantu un 2. pielikumu sagatavo un katru gadu līdz 30. aprīlim iesniedz Eiropas Komisijā ikgadējo ziņojumu par Modernizācijas fonda darbību iepriekšējā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52. panta trešās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sadarbībā ar Zemkopības ministriju, Ekonomikas ministriju, Satiksmes ministriju un citām nozaru ministrijām katru gadu pēc Eiropas Parlamenta un Padomes 2018. gada 11. decembra regulas (ES)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Nr. 2018/1999), 18. panta 1. punktā un 26. panta 2. un 3. punktā minēto ziņojumu iesniegšanas sagatavo un līdz 31. decembrim iesniedz Ministru kabinetam informatīvo ziņojumu par siltumnīcefekta gāzu emisiju samazināšanas un oglekļa dioksīda piesaistes saistību izpildi. Minētajā informatīvajā ziņojumā iekļauj:".</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ievaddaļā vārdus un skaitļus "Regulu Nr. 525/2013" ar vārdiem un skaitļiem "Regulu Nr. 2018/1999";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vārdus un skaitļus "Regulā Nr. 525/2013" ar vārdiem un skaitļiem "Regulā Nr. 2018/1999";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nosaka kārtību, kādā tiek izveidotas un uzturētas siltumnīcefekta gāzu inventarizācijas, prognožu un pielāgošanās klimata pārmaiņām ziņošanas sistēmas;".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54. panta piektajā daļā vārdus un skaitļus "Regulas Nr. 525/2013 8. pantā" ar vārdiem un skaitļiem "Regulas Nr. 2018/1999 26. panta 2.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22-TA-901</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22-TA-901</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likumprojekts_(grozījumi)_22-TA-901.docx</dc:title>
</cp:coreProperties>
</file>

<file path=docProps/custom.xml><?xml version="1.0" encoding="utf-8"?>
<Properties xmlns="http://schemas.openxmlformats.org/officeDocument/2006/custom-properties" xmlns:vt="http://schemas.openxmlformats.org/officeDocument/2006/docPropsVTypes"/>
</file>