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atbalsta mērķis) 4.2.2.5. pasākumu "Dalība starptautiskos izglītības pētījumos izglītības kvalitātes monitoringa sistēmas attīstībai un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dalību starptautisko organizāciju īstenotajos starptautiskajos izglītības pētījumos un programmās izglītības politikas izstrādei un rīcībpolitikas ieviešanas un ietekmes izvērtēšanai.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atbildīgas par izglītības satura izstrādi, tā īstenošanas pārraudzību un starptautisku pētījumu īstenošanu izglītības un zinātnes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minētās atbalstāmās darbības un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starptautisko pētījumu cikli, kuros nodrošināta dalība, – 9, tai skaitā līdz 2024. gada 31. decembrim paziņoti, izplatīti un izanalizēti rezultāti vismaz par diviem pētījumu cikliem;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dalība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astoņos pētījumu ciklos iegūto datu sekundāra izpēte, sniedzot datos balstītu atbildi uz konkrētu rīcībpolitikas jautājumu.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w:t>
      </w:r>
      <w:r w:rsidR="00000000" w:rsidRPr="00000000" w:rsidDel="00000000">
        <w:rPr>
          <w:rtl w:val="0"/>
        </w:rPr>
        <w:t xml:space="preserve">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šādos deviņos starptautisko pētījumu ciklos: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Starptautiskajā skolēnu prasmju novērtēšanas programmā OECD PISA 2025;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 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Starptautiskajos matemātikas un dabaszinātņu izglītības attīstības tendenču pētījumos IEA TIMSS 2023 un IEA TIMSS 2027;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 IEA PIRLS 2026;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Starptautiskajos datorprasmju un informācijpratības pētījumos IEA ICILS 2023 un IEA ICILS 2028;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Starptautiskajā pieaugušo kompetenču novērtēšanas programmas pētījumā 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Starptautiskajā pilsoniskās izglītības pētījumā IEA ICCS 2027;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piedaloties šādās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 OECD INES;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Izglītības pētniecības un inovāciju centra darbības programmā OECD CERI;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Komisijas Izglītības, jaunatnes, sporta un kultūras ģenerāldirektorāta Izglītības indikatoru un mērķrādītāju pastāvīgās grupas programmā EK SGIB;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šādos astoņos pētījumu ciklos iegūto datu sekundāro izpēti: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OECD PISA 2022;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IEA PIRLS 2021;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IEA TIMSS 2019 un IEA TIMSS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IEA ICILS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IEA ICCS 2022.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6 835 606 </w:t>
      </w:r>
      <w:r w:rsidR="00000000" w:rsidRPr="00000000" w:rsidDel="00000000">
        <w:rPr>
          <w:i w:val="1"/>
          <w:rtl w:val="0"/>
        </w:rPr>
        <w:t xml:space="preserve">euro</w:t>
      </w:r>
      <w:r w:rsidR="00000000" w:rsidRPr="00000000" w:rsidDel="00000000">
        <w:rPr>
          <w:rtl w:val="0"/>
        </w:rPr>
        <w:t xml:space="preserve">, tai skaitā Eiropas Sociālā fonda Plus finansējums 5 810 265 </w:t>
      </w:r>
      <w:r w:rsidR="00000000" w:rsidRPr="00000000" w:rsidDel="00000000">
        <w:rPr>
          <w:i w:val="1"/>
          <w:rtl w:val="0"/>
        </w:rPr>
        <w:t xml:space="preserve">euro </w:t>
      </w:r>
      <w:r w:rsidR="00000000" w:rsidRPr="00000000" w:rsidDel="00000000">
        <w:rPr>
          <w:rtl w:val="0"/>
        </w:rPr>
        <w:t xml:space="preserve">un valsts budžeta finansējums 1 025 341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iesniegumā pasākuma īstenošanai pieejamo kopējo finansējumu plāno ne vairāk kā 5 776 088 </w:t>
      </w:r>
      <w:r w:rsidR="00000000" w:rsidRPr="00000000" w:rsidDel="00000000">
        <w:rPr>
          <w:i w:val="1"/>
          <w:rtl w:val="0"/>
        </w:rPr>
        <w:t xml:space="preserve">euro </w:t>
      </w:r>
      <w:r w:rsidR="00000000" w:rsidRPr="00000000" w:rsidDel="00000000">
        <w:rPr>
          <w:rtl w:val="0"/>
        </w:rPr>
        <w:t xml:space="preserve">apmērā, tai skaitā Eiropas Sociālā fonda Plus finansējumu 4 909 674 </w:t>
      </w:r>
      <w:r w:rsidR="00000000" w:rsidRPr="00000000" w:rsidDel="00000000">
        <w:rPr>
          <w:i w:val="1"/>
          <w:rtl w:val="0"/>
        </w:rPr>
        <w:t xml:space="preserve">euro </w:t>
      </w:r>
      <w:r w:rsidR="00000000" w:rsidRPr="00000000" w:rsidDel="00000000">
        <w:rPr>
          <w:rtl w:val="0"/>
        </w:rPr>
        <w:t xml:space="preserve">apmērā un valsts budžeta finansējumu 866 414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norādītajām prasībām un uzaicinājumā noteiktajā termiņā iesniedz to sadarbības iestādē, izmantojot Kohēzijas politikas fondu vadības informācijas sistēmas elektronisko vidi. Projekta iesniedzējs pēc tam, kad ar sadarbības iestādi ir noslēgta vienošanās par projekta īstenošanu,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minētajos starptautisko pētījumu ciklos, projekta īstenošanā par sadarbības partneriem iesaistot augstākās izglītības iestādes un zinātniskās institūcijas, kas īsteno izglītības programmas studiju virzienā "Izglītība un pedagoģija", bet šo noteikumu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minētajā gadījumā – arī studiju virzienā "Socioloģija, politoloģija un antropoloģija";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5.2.1.</w:t>
      </w:r>
      <w:r w:rsidR="00000000" w:rsidRPr="00000000" w:rsidDel="00000000">
        <w:rPr>
          <w:rtl w:val="0"/>
        </w:rPr>
        <w:t xml:space="preserve"> apakšpunktā</w:t>
      </w:r>
      <w:r w:rsidR="00000000" w:rsidRPr="00000000" w:rsidDel="00000000">
        <w:rPr>
          <w:rtl w:val="0"/>
        </w:rPr>
        <w:t xml:space="preserve"> minētajā pētījumu programmā, projekta īstenošanā par sadarbības partneri iesaistot Centrālo statistikas pārvaldi;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minēto pētījumu ciklos iegūto datu sekundārajās izpētēs, projekta īstenošanā par sadarbības partneriem iesaistot augstākās izglītības iestādes un zinātniskās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minētie sadarbības partneri iesaistās starptautisko pētījumu ciklu, programmu un pētījumu ciklos iegūto datu sekundārās izpētes īstenošanā, veicot darbības, kas noteiktas līgumā par sadarbību atbalstāmo darbību īstenošanā (turpmāk – sadarbības līgums). Sagatavojot sadarbības līgumu, finansējuma saņēmējs izvērtē starptautiskās organizācijas līgumā vai vadlīnijās noteiktās prasības, lai nodrošinātu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minēto darbību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finansējuma saņēmējs. Vienlaikus finansējuma saņēmējs nodrošina interešu konflikta neesību, t. i., nodrošina, ka katrs sadarbības partneris ir parakstījis apliecinājumu par interešu konflikta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minētajiem nosacījumiem sadarbības partneri nodrošina, ka katra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starptautisko pētījumu cikla īstenošanai tiek piesaistīti augstskolās studējošie un doktora zinātniskā grāda pretendenti, kā arī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sadarbības partneru izvēli, norādot konkrēto sadarbības partneru iesaistes mehānismu, nepieciešamību un to kompetences atbilstību plānotajām atbalstāmajām darbībām, kā arī ar katru sadarbības partneri noslēgt sadarbības līgumu.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attiecināmo tiešo un netiešo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starptautisko pētījumu ciklu un programmu īstenošana un pētījumu ciklos iegūto datu sekundārā izpēte, kas attiecināma gan uz finansējuma saņēmēju, gan uz sadarbības partneri,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dalības nodrošināšana starptautisko pētījumu ciklos un datu analīzes programmās;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pētījumu ciklu un datu analīzes programmu īstenošana, kas ietver pētījuma datu nodrošināšanu un iesniegšanu attiecīgajai starptautiskajai institūcijai, kā arī datu sagatavošanu publiskošanai, tostarp starptautiskajās datubāzēs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starptautisko pētījumu ciklu un datu analīzes programmu pirmo rezultātu ziņojuma sagatavošana publiskošanai, tā publiskošana un prezentēšana, kā arī nacionālo datu un informācijas validācija starptautisko institūciju sagatavotajos ziņojumos;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starptautisko pētījumu ciklos iegūto datu sekundārās izpētes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tā īstenošanas nodrošināšana, kas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projekta īstenošanu un publicitātes pasākumi, kas attiecināmi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pētījumu rezultātu ietekmes veidošanas pasākumi, tai skaitā informēšana par pētījumu rezultātiem, iesaistīšanās stratēģisku dokumentu, vadlīniju un citu dokumentu izstrādē, kā arī pasākumi mērķa grupu iesaistīšanai pētījumu rezultātu izmantošanā, kas attiecināmi uz finansējuma saņēmēju.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darba vietas aprīkojuma (biroja mēbeles un tehnika, datorprogrammas un licences) iegādei vai nomai finansējuma saņēmēja projekta vadības un īstenošanas personālam, kā arī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ja tās ir skaidri saistāmas ar projekta rezultāta sasniegšanu, kā arī projekta atbildīgajai amatpersonai un Latvijas nominētajam delegātam pētījumu un programmu valdēs, ja tās ir skaidri saistāmas ar projekta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starptautisko pētījumu un programmu dalības maksa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tulkošanas un publicēšanas izmaksas finansējuma saņēmējam, ieskaitot informatīvu izdales materiālu izdošanas izmaksas, kā arī semināru un konferenču organizēšanas un īstenošanas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informācijas un publicitātes pasākumu izmaksas finansējuma saņēmējam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pantam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stratēģijas un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satura komunikācijas pasākumu izstrāde un nodrošināšana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minēto atbalstāmo darbību izmaksas tiek plānotas un attiecinātas uz sadarbības partneri atbilstoši atbildīgās iestādes izstrādātajai vienkāršoto izmaksu aprēķina metodikai, kas saskaņota ar vadošo iestādi. Sadarbības partnerim ir attiecināmas šādas tiešo attiecināmo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īstenošanas personāla atlīdzības izmaksas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minēto atbalstāmo darbību īstenošanai, pamatojoties uz darba līgumu vai uzņēmuma līgumu. Darba līguma gadījumā tas ir atalgojums un darba devēja valsts sociālās apdrošināšanas obligātās iemaksas, pabalsti un kompensācijas atbilstoši sadarbības partnera personāla politikai (izņemot virsstundas). Uzņēmuma līguma gadījumā tā ir samaksa fiziskajai personai par pakalpojumu un ar uzņēmuma līgumu saistītie nodokļi;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īstenošanas personālam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nepieciešamā informācijas tehnoloģiju aprīkojuma (datortehnika, programmatūra, licences, printeris, datu glabāšanas aprīkojums, tiešsaistes nodrošinājums) iegādes vai īres izmaksas sadarbības partnerim, izņemot īstenošanas personālu,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komandējumu un dienesta braucienu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netiešās attiecināmās izmaksas attiecināmas gan uz finansējuma saņēmēju, gan sadarbības partneri. Finansējuma saņēmējs un sadarbības partneris var plānot netiešās izmaksas kā vienu izmaksu pozīciju, piemērojot netiešo izmaksu vienoto likmi 15 % apmērā no projekta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neparedzētās izmaksas, kas radušās par papildu darbu veikšanu vai pakalpojumu sniegšanu vai kas dalības maksu sadārdzinājuma un neparedzamu apstākļu dēļ ir kļuvušas nepieciešamas projekta īstenošanai, finansējuma saņēmējs var plānot kā vienu izmaksu pozīciju, kas nepārsniedz 5 %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nodokļa izmaksas gan finansējuma saņēmējam, gan sadarbības partnerim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Uzsākot projekta īstenošanu, šajā nodaļā minētajām izmaksām piemēro 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minētos vienkāršoto izmaksu veidus. Atbildīgā iestāde līdz projekta iesnieguma atlasei izstrādā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vienkāršoto izmaksu metodiku. Vienkāršotās izmaksas piemēro atbilstoši to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tā tiek piemērota pasākumā.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paredzētās izmaksas ir attiecināmas no 2022. gada 1. janvāra: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 Latvijas Universitātes – izmaksas pētījumā ICILS 2023 tiek attiecinātas, sākot ar 2022. gada 1. janvāri, saskaņā ar Ministru kabineta 2022. gada 17. maija sēdes protokollēmumu (prot. Nr. 27 33.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izmaksas tiek attiecinātas no dienas, kad noslēgts sadarbības līgums vai vienošanās par konkrēta pētījuma īstenošanu, ja attiecīgajā dokumentā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izmaksas tiek attiecinātas no dienas, kad noslēgts nodomu protokols par sadarbību konkrēta pētījuma īstenošanā un priekšfinansēšanu, ja nodomu protokolā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pieaicina vismaz vienu pārstāvi no atbildīgās iestādes, Valsts izglītības attīstības aģentūras, Izglītības kvalitātes valsts dienesta un, ja nepieciešams, citām organizācijām un institūcijām. Projekta uzraudzības padomes sastāvā novērotāja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ne retāk kā reizi 12 mēnešos iesniedz projekta uzraudzības padomei ziņojumu par projekta īstenošanas progresu, tai skaitā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minētajiem uzraudzības rādītājiem, sniedzot atgriezenisko saiti no sadarbības partneriem un citām iesaistītajām pusēm, un prezentē projekta īstenošanas rezultātus projekta uzraudzības 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pantu un 50. pantu un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Preču un pakalpojumu iepirkumus projekta īstenošanas vajadzībām veic saskaņā ar normatīvajiem aktiem publisko iepirkumu jomā, īstenojot atklātu, pārredzamu, nediskriminējošu un konkurenci neierobežojošu procedūru un izvērtējot iespējas iepirkumiem piemērot sociāli atbildīga publiskā iepirkuma un inovatīva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 izmantojot projekta ietvaros piešķirtos publiskos līdzekļus, īsteno projektus, kas nav saistīti ar saimnieciskās darbības veikšanu, atbilstoši Eiropas Komisijas paziņojumā "Pētniecībai, izstrādei un inovācijai piešķiramā valsts atbalsta nostādnes" (Eiropas Savienības Oficiālais Vēstnesis, 2022. gada 28. oktobris, Nr. C414) noteiktajām nesaimnieciska rakstura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25-TA-637</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25-TA-637</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noteikumu_konsolidētā_versija_25-TA-637.docx</dc:title>
</cp:coreProperties>
</file>

<file path=docProps/custom.xml><?xml version="1.0" encoding="utf-8"?>
<Properties xmlns="http://schemas.openxmlformats.org/officeDocument/2006/custom-properties" xmlns:vt="http://schemas.openxmlformats.org/officeDocument/2006/docPropsVTypes"/>
</file>