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2014. gada 25. februāra noteikumos Nr. 112 "Noteikumi par Eiropas tehnisko novērtējumu"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atbilstības novērtēšanu</w:t>
      </w:r>
      <w:r w:rsidR="00000000" w:rsidRPr="00000000" w:rsidDel="00000000">
        <w:rPr>
          <w:rStyle w:val="paragraph"/>
          <w:i w:val="1"/>
          <w:rtl w:val="0"/>
        </w:rPr>
        <w:t xml:space="preserve">" </w:t>
      </w:r>
      <w:r>
        <w:br/>
      </w:r>
      <w:r w:rsidR="00000000" w:rsidRPr="00000000" w:rsidDel="00000000">
        <w:rPr>
          <w:rStyle w:val="paragraph"/>
          <w:i w:val="1"/>
          <w:rtl w:val="0"/>
        </w:rPr>
        <w:t xml:space="preserve">7.panta pirmo daļu un </w:t>
      </w:r>
      <w:r w:rsidR="00000000" w:rsidRPr="00000000" w:rsidDel="00000000">
        <w:rPr>
          <w:rStyle w:val="paragraph"/>
          <w:i w:val="1"/>
          <w:rtl w:val="0"/>
        </w:rPr>
        <w:t xml:space="preserve">Būvniecības likuma</w:t>
      </w:r>
      <w:r w:rsidR="00000000" w:rsidRPr="00000000" w:rsidDel="00000000">
        <w:rPr>
          <w:rStyle w:val="paragraph"/>
          <w:i w:val="1"/>
          <w:rtl w:val="0"/>
        </w:rPr>
        <w:t xml:space="preserve"> </w:t>
      </w:r>
      <w:r>
        <w:br/>
      </w:r>
      <w:r w:rsidR="00000000" w:rsidRPr="00000000" w:rsidDel="00000000">
        <w:rPr>
          <w:rStyle w:val="paragraph"/>
          <w:i w:val="1"/>
          <w:rtl w:val="0"/>
        </w:rPr>
        <w:t xml:space="preserve">5.panta pirmās daļas 11.punktu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2014. gada 25. februāra noteikumos Nr. 112 "Noteikumi par Eiropas tehnisko novērtējumu" (Latvijas Vēstnesis, 2014, 42., 84. nr.; 2018, 157.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Būvizstrādājuma Eiropas tehnisko novērtējumu (turpmāk – tehniskais novērtējums) saskaņā ar Eiropas Parlamenta un Padomes 2024. gada 27. novembra Regulu (ES) 2024/3110, kas nosaka saskaņotus būvizstrādājumu tirdzniecības noteikumus un atceļ Regulu (ES) Nr. 305/2011 (turpmāk – regula (ES) 2024/3110), un šiem noteikumiem izdod šajos noteikumos noteiktajā kārtībā akreditēta tehniskā novērtējuma institūcija."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Juridiskā persona, kas pretendē izdot tehniskos novērtējumus Latvijā (turpmāk – pretendents), iesniedz nacionālajā akreditācijas institūcijā akreditācijas iesniegumu (1. pielikums) un pievieno dokumentus, kas apliecina pretendenta atbilstību regulas (ES) 2024/3110 VIII pielikumā noteiktajām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Nacionālā akreditācijas institūcija pēc šo noteikumu 3. punktā minēto dokumentu saņemšanas izvērtē pretendenta kompetenci atbilstoši normatīvajiem aktiem par atbilstības novērtēšanas institūciju novērtēšanu, akreditāciju un uzraudzību un atbilstoši tam pieņem vienu no šādiem lēmumiem: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 piešķirt akreditāciju, ja pretendents atbilst regulas (ES) 2024/3110 VIII pielikumā noteiktajām prasībām;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 nepiešķirt akreditāciju, ja pretendents neatbilst regulas (ES) 2024/3110 VIII pielikumā noteiktajām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Pretendents, kuram ir piešķirta akreditācija, uzskatāms par Latvijā apstiprinātu tehniskā novērtējuma institūciju regulas (ES) 2024/3110 39. panta 1. punkta izpratnē. Ekonomikas ministrija informāciju par tehniskā novērtējuma institūciju paziņo citām Eiropas Ekonomikas zonas dalībvalstīm un Eiropas Komisijai."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 Tehniskā novērtējuma institūcijas darbību un kompetenci uzrauga nacionālā akreditācijas institūcija atbilstoši regulas (ES) 2024/3110 39. panta 3.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 Pieprasot tehnisko novērtējumu, iesniedzējs piekrīt, ka tehniskā novērtējuma institūcija par iesnieguma saturu informē Eiropas Komisiju, regulas (ES) 2024/3110 41. panta 1. punktā minēto tehniskā novērtējuma organizāciju un citu Eiropas Ekonomikas zonas dalībvalstu tehniskā novērtējuma institūcijas."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26-TA-311</w:t>
    </w:r>
    <w:r>
      <w:br/>
    </w:r>
    <w:r w:rsidR="00000000" w:rsidRPr="00000000" w:rsidDel="00000000">
      <w:rPr>
        <w:rtl w:val="0"/>
      </w:rPr>
      <w:t xml:space="preserve">Izdrukāts 29.07.2026. 22.47 - 1.0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26-TA-311</w:t>
    </w:r>
    <w:r>
      <w:br/>
    </w:r>
    <w:r w:rsidR="00000000" w:rsidRPr="00000000" w:rsidDel="00000000">
      <w:rPr>
        <w:rtl w:val="0"/>
      </w:rPr>
      <w:t xml:space="preserve">Izdrukāts 29.07.2026. 22.47 - 1.0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noteikumu_(grozījumu)_projekts_26-TA-311.docx</dc:title>
</cp:coreProperties>
</file>

<file path=docProps/custom.xml><?xml version="1.0" encoding="utf-8"?>
<Properties xmlns="http://schemas.openxmlformats.org/officeDocument/2006/custom-properties" xmlns:vt="http://schemas.openxmlformats.org/officeDocument/2006/docPropsVTypes"/>
</file>