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septembrī (prot. Nr. 44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Ekonomikas zonas</w:t>
      </w:r>
      <w:r>
        <w:br/>
      </w:r>
      <w:r w:rsidR="00000000" w:rsidRPr="00000000" w:rsidDel="00000000">
        <w:rPr>
          <w:rStyle w:val="paragraph"/>
          <w:i w:val="1"/>
          <w:rtl w:val="0"/>
        </w:rPr>
        <w:t xml:space="preserve">finanšu instrumenta un Norvēģijas</w:t>
      </w:r>
      <w:r>
        <w:br/>
      </w:r>
      <w:r w:rsidR="00000000" w:rsidRPr="00000000" w:rsidDel="00000000">
        <w:rPr>
          <w:rStyle w:val="paragraph"/>
          <w:i w:val="1"/>
          <w:rtl w:val="0"/>
        </w:rPr>
        <w:t xml:space="preserve">finanšu instrumenta 2014.–2021. gada</w:t>
      </w:r>
      <w:r>
        <w:br/>
      </w:r>
      <w:r w:rsidR="00000000" w:rsidRPr="00000000" w:rsidDel="00000000">
        <w:rPr>
          <w:rStyle w:val="paragraph"/>
          <w:i w:val="1"/>
          <w:rtl w:val="0"/>
        </w:rPr>
        <w:t xml:space="preserve">perioda vadības likuma 15. panta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(Latvijas Vēstnesis, 2020, 107. nr.; 2021, 124. nr.; 2022, 19., 176.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Kopējais programmas pieejamais finansējums ir 9 858 546 </w:t>
      </w:r>
      <w:r w:rsidR="00000000" w:rsidRPr="00000000" w:rsidDel="00000000">
        <w:rPr>
          <w:i w:val="1"/>
          <w:rtl w:val="0"/>
        </w:rPr>
        <w:t xml:space="preserve">euro</w:t>
      </w:r>
      <w:r w:rsidR="00000000" w:rsidRPr="00000000" w:rsidDel="00000000">
        <w:rPr>
          <w:rtl w:val="0"/>
        </w:rPr>
        <w:t xml:space="preserve">, no kuriem valsts budžeta līdzfinansējums ir 15 procenti jeb 1 478 782 </w:t>
      </w:r>
      <w:r w:rsidR="00000000" w:rsidRPr="00000000" w:rsidDel="00000000">
        <w:rPr>
          <w:i w:val="1"/>
          <w:rtl w:val="0"/>
        </w:rPr>
        <w:t xml:space="preserve">euro</w:t>
      </w:r>
      <w:r w:rsidR="00000000" w:rsidRPr="00000000" w:rsidDel="00000000">
        <w:rPr>
          <w:rtl w:val="0"/>
        </w:rPr>
        <w:t xml:space="preserve"> un Eiropas Ekonomikas zonas finanšu instrumenta līdzfinansējums ir 85 procenti jeb 8 379 764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kopējais Baltijas pētniecības programmai pieejamais finansējums ir 8 676 084 </w:t>
      </w:r>
      <w:r w:rsidR="00000000" w:rsidRPr="00000000" w:rsidDel="00000000">
        <w:rPr>
          <w:i w:val="1"/>
          <w:rtl w:val="0"/>
        </w:rPr>
        <w:t xml:space="preserve">euro</w:t>
      </w:r>
      <w:r w:rsidR="00000000" w:rsidRPr="00000000" w:rsidDel="00000000">
        <w:rPr>
          <w:rtl w:val="0"/>
        </w:rPr>
        <w:t xml:space="preserve">, no kuriem valsts budžeta līdzfinansējums ir 15 procenti jeb 1 301 413 </w:t>
      </w:r>
      <w:r w:rsidR="00000000" w:rsidRPr="00000000" w:rsidDel="00000000">
        <w:rPr>
          <w:i w:val="1"/>
          <w:rtl w:val="0"/>
        </w:rPr>
        <w:t xml:space="preserve">euro </w:t>
      </w:r>
      <w:r w:rsidR="00000000" w:rsidRPr="00000000" w:rsidDel="00000000">
        <w:rPr>
          <w:rtl w:val="0"/>
        </w:rPr>
        <w:t xml:space="preserve">un Eiropas Ekonomikas zonas finanšu instrumenta līdzfinansējums ir 85 procenti jeb 7 374 671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18.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23-TA-1166</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23-TA-1166</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noteikumu_(grozījumu)_projekts_23-TA-1166.docx</dc:title>
</cp:coreProperties>
</file>

<file path=docProps/custom.xml><?xml version="1.0" encoding="utf-8"?>
<Properties xmlns="http://schemas.openxmlformats.org/officeDocument/2006/custom-properties" xmlns:vt="http://schemas.openxmlformats.org/officeDocument/2006/docPropsVTypes"/>
</file>