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4. martā (prot. Nr. 12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266 "Par finansējumu Padomju okupācijas upuru piemiņas memoriāla kompleksa izveides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12. jūnija rīkojumā Nr. 266 "Par finansējumu Padomju okupācijas upuru piemiņas memoriāla kompleksa izveides izdevumu segšanai" (Latvijas Vēstnesis, 2018, 117., 205. nr.; 2020, 183. nr.) šādu grozījumu: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Paredzēt Kultūras ministrijas budžetā finansējumu, lai segtu nekustamā īpašuma (nekustamā īpašuma kadastra Nr. 0100 001 0095) Latviešu strēlnieku laukumā 1, Rīgā, kompleksa uzturēšanas izdevumus valsts akciju sabiedrībai "Valsts nekustamie īpašumi" 2021. gadā 134 155 </w:t>
      </w:r>
      <w:r w:rsidR="00000000" w:rsidRPr="00000000" w:rsidDel="00000000">
        <w:rPr>
          <w:i w:val="1"/>
          <w:rtl w:val="0"/>
        </w:rPr>
        <w:t xml:space="preserve">euro </w:t>
      </w:r>
      <w:r w:rsidR="00000000" w:rsidRPr="00000000" w:rsidDel="00000000">
        <w:rPr>
          <w:rtl w:val="0"/>
        </w:rPr>
        <w:t xml:space="preserve">apmērā, 2022. gadā 461 737 </w:t>
      </w:r>
      <w:r w:rsidR="00000000" w:rsidRPr="00000000" w:rsidDel="00000000">
        <w:rPr>
          <w:i w:val="1"/>
          <w:rtl w:val="0"/>
        </w:rPr>
        <w:t xml:space="preserve">euro </w:t>
      </w:r>
      <w:r w:rsidR="00000000" w:rsidRPr="00000000" w:rsidDel="00000000">
        <w:rPr>
          <w:rtl w:val="0"/>
        </w:rPr>
        <w:t xml:space="preserve">apmērā un turpmāk no 2023. gada katru gadu līdz 2042. gadam 549 326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rīkojuma_projekts_22-TA-161.docx</dc:title>
</cp:coreProperties>
</file>

<file path=docProps/custom.xml><?xml version="1.0" encoding="utf-8"?>
<Properties xmlns="http://schemas.openxmlformats.org/officeDocument/2006/custom-properties" xmlns:vt="http://schemas.openxmlformats.org/officeDocument/2006/docPropsVTypes"/>
</file>