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speciālās regulatīvās vides izveidi un īstenošanu"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24-TA-2027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