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Grāmatvedības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Grāmatvedības likumā (Latvijas Vēstnesis, 2021, Nr. 121B)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pirmās daļas 9.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“9) </w:t>
      </w:r>
      <w:r w:rsidR="00000000" w:rsidRPr="00000000" w:rsidDel="00000000">
        <w:rPr>
          <w:b w:val="1"/>
          <w:rtl w:val="0"/>
        </w:rPr>
        <w:t xml:space="preserve">strukturēts elektroniskais rēķins </w:t>
      </w:r>
      <w:r w:rsidR="00000000" w:rsidRPr="00000000" w:rsidDel="00000000">
        <w:rPr>
          <w:rtl w:val="0"/>
        </w:rPr>
        <w:t xml:space="preserve">− rēķins, kurš sagatavots, nosūtīts un saņemts strukturētā elektroniskā formātā, kas ļauj to automātiski un elektroniski apstrādāt, un kurš atbilst Eiropas Savienības standartam LVS EN 16931-1:2017 "Elektroniskie rēķini. 1. daļa. Elektronisko rēķinu pamatelementu semantisko datu modelis", uzņēmums to izraksta atbilstoši tehniskajai specifikācijai LVS CEN/TS 16931-2:2017 "Elektroniskie rēķini. 2. daļa: Standartam EN 16931-1 atbilstošo sintakšu saraksts";”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pirmās daļas 10. punkta e) apakšpunktu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“e) budžeta iestādei, no valsts budžeta daļēji finansētai atvasinātai publiskai personai, budžeta nefinansētai iestādei Likuma par budžetu un finanšu vadību izpratnē (turpmāk – budžeta iestādes) − amatpersona, kas īsteno attiecīgās iestādes vispārējo administratīvo vadību;"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svītrot otro daļu.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panta pirmās daļas 3.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“3) budžeta iestādēm;”.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likuma 11. pantu ar četrpadsmito, piecpadsmito un sešpadsmito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“(14) Attaisnojuma dokumentu, kuru cits uzņēmums izsniedz uzņēmumam, kas ir preču vai pakalpojumu saņēmējs Latvijas teritorijā, samaksāšanai (rēķinu) noformē kā strukturētu elektronisko rēķinu.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(15) Šā panta četrpadsmitajā daļā minētie uzņēmumi vienojas par strukturēta elektroniskā rēķina Ministru kabinetā noteiktajiem piegādes kanāliem. Ministru kabinets nosaka strukturēta elektroniskā rēķina aprites kārtību.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(16) Atkāpties no šā panta četrpadsmitajā daļā noteiktās prasības par strukturēta elektroniskā rēķina noformēšanu var: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uzņēmumi par darījumiem, kad samaksu apliecina ar darījumus apliecinošu dokumentu veidu, kas sagatavojams saskaņā ar normatīvajiem aktiem, kuri reglamentē nodokļu un citu maksājumu reģistrēšanas elektronisko ierīču un iekārtu lietošanas kārtību;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uzņēmumi par darījumiem, kad samaksu apliecina ar attaisnojuma dokumentu (rēķinu), kas sagatavots un ģenerēts Nacionālā veselības dienesta Vadības informācijas sistēmā;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valsts drošības iestādes par iestādes elektroniskajā apritē sagatavoto attaisnojuma dokumentu.”.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pārejas noteikumus ar  8., 9. un 10.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“8. Šā likuma 11. panta četrpadsmitā daļā uzņēmumam noteiktais pienākums par attaisnojuma dokumentu, kuru izsniedz citam uzņēmumam, kas nav budžeta iestāde, piemērojams, sākot no  2026. gada 1. janvāra.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 Uz darījumiem, kas slēgti līdz 2024. gada 31. decembrim, šā likuma 11. panta četrpadsmitā daļa piemērojama ne vēlāk kā no 2026. gada 1. janvāra.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 Ministru kabinets līdz 2025. gada 1. jūlijam izdod šā likuma 11. panta piecpadsmitajā daļā minētos noteikumus.”.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 Likums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24-TA-438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24-TA-438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