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19. aprīļa noteikumos Nr. 251 "Darbības programmas "Izaugsme un nodarbinātība" prioritārā virziena "Pasākumi Covid-19 pandēmijas seku mazināšanai" 13.1.4. specifiskā atbalsta mērķa "Atveseļošanas pasākumi kultūras jomā" otrās projektu iesniegumu atlases kārtas "Daudzpusīgas profesionālās mākslas pieejamības nodrošināšana nacionālas vai reģionālas nozīmes attīstības centros Latvijā" 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22-TA-2898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