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Energoefektivitātes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Energoefektivitātes likumā (Latvijas Vēstnesis, 2016, 52., 241. nr.; 2019, 86., 240. nr.; 2020, 90. nr.; 2022, 137A.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trešo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Termins "datu centrs" šajā likumā lietots Nacionālās kiberdrošības likuma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IV nodaļas nosaukumu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Energoefektivitātes ieviešanas prasības un uzraudzība</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12.</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Energoefektivitāte datu centros</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Datu centru īpašnieki un operatori, kuru vienā atsevišķā datu centrā instalētās informācijas tehnoloģiju infrastruktūras jaudas pieprasījums kārtējā gada kalendāra pēdējā dienā ir vismaz 500 kilovati, katru gadu līdz 15. maijam par iepriekšējo kalendāra gadu sniedz Eiropas Komisijas izveidotā Eiropas datu centru datubāzē informāciju, kas noteikta Komisijas 2024. gada 14. marta deleģētajā regulā (ES) 2024/1364 par kopīgas Savienības datu centru reitinga shēmas izveides pirmo posmu. Minētā prasība neattiecas uz informāciju, kuru Savienības un valsts tiesību akti aizsargā kā komercnoslēpumu, uzņēmējdarbības noslēpumu un konfidencialitāti. Eiropas datu centru datubāzē sniegto informāciju datu centru īpašnieki un operatori publicē arī savā tīmekļvietnē. </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Šā panta pirmo daļu nepiemēro kritiskās infrastruktūras kopumā iekļautajiem datu centriem un datu centriem, kuri nodrošina vai uztur informācijas sistēmas, kuras ir informācijas un komunikācijas tehnoloģiju kritiskā infrastruktūra vai kuru izmantošanas vai pakalpojumu sniegšanas vienīgais mērķis ir civilā drošība un aizsardzība. </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Kritiskās infrastruktūras kopumā iekļautie datu centri un datu centri, kuri nodrošina vai uztur informācijas sistēmas, kuras ir informācijas un komunikācijas tehnoloģiju kritiskā infrastruktūra vai kuru izmantošanas vai pakalpojumu sniegšanas vienīgais mērķis ir civilā drošība un aizsardzība,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informāciju par iepriekšējo kalendāra gadu tikai par to infrastruktūras daļu, kas tiek izmantota pakalpojumu sniegšanai citām juridiskajām personām."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informatīvo atsauci uz Eiropas Savienības direktīvām ar 3.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2023. gada 13. septembra direktīvas 2023/1791 par energoefektivitāti un ar ko groza regulu (ES) 2023/955 (pārstrādātā redakcija)."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24-TA-2516</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24-TA-2516</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likumprojekts_(grozījumi)_24-TA-2516.docx</dc:title>
</cp:coreProperties>
</file>

<file path=docProps/custom.xml><?xml version="1.0" encoding="utf-8"?>
<Properties xmlns="http://schemas.openxmlformats.org/officeDocument/2006/custom-properties" xmlns:vt="http://schemas.openxmlformats.org/officeDocument/2006/docPropsVTypes"/>
</file>