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Latvijas Republikas valsts robežas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nodrošinot finansējumu likumprojekta normu īstenošanai, kas nepieciešams tehnoloģiskās infrastruktūras darbībai (uzturēšanai), 2026. gadam 4 914 180 </w:t>
      </w:r>
      <w:r w:rsidR="00000000" w:rsidRPr="00000000" w:rsidDel="00000000">
        <w:rPr>
          <w:i w:val="1"/>
          <w:rtl w:val="0"/>
        </w:rPr>
        <w:t xml:space="preserve">euro</w:t>
      </w:r>
      <w:r w:rsidR="00000000" w:rsidRPr="00000000" w:rsidDel="00000000">
        <w:rPr>
          <w:rtl w:val="0"/>
        </w:rPr>
        <w:t xml:space="preserve"> apmērā un 2027. un turpmāk ik gadam 11 198 034 </w:t>
      </w:r>
      <w:r w:rsidR="00000000" w:rsidRPr="00000000" w:rsidDel="00000000">
        <w:rPr>
          <w:i w:val="1"/>
          <w:rtl w:val="0"/>
        </w:rPr>
        <w:t xml:space="preserve">euro</w:t>
      </w:r>
      <w:r w:rsidR="00000000" w:rsidRPr="00000000" w:rsidDel="00000000">
        <w:rPr>
          <w:rtl w:val="0"/>
        </w:rPr>
        <w:t xml:space="preserve"> apmērā no Aizsardzības ministrijai piešķirtajiem valsts budžeta līdzekļiem, veicot uzturēšanas izdevumu transfertu attiecīgajam mērķim, Iekšlietu ministrijai (Valsts robežsardzei), attiecīgie izdevumi netiks uzskaitīti kā vispārējās valdības budžeta izdevumi aizsardzībai atbilstoši valdības funkciju klasifikācijai (COFOG).</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25-TA-121</w:t>
    </w:r>
    <w:r>
      <w:br/>
    </w:r>
    <w:r w:rsidR="00000000" w:rsidRPr="00000000" w:rsidDel="00000000">
      <w:rPr>
        <w:rtl w:val="0"/>
      </w:rPr>
      <w:t xml:space="preserve">Izdrukāts 29.07.2026. 23.36 - 4.0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mk_sēdes_protokollēmuma_projekts_25-TA-121.docx</dc:title>
</cp:coreProperties>
</file>

<file path=docProps/custom.xml><?xml version="1.0" encoding="utf-8"?>
<Properties xmlns="http://schemas.openxmlformats.org/officeDocument/2006/custom-properties" xmlns:vt="http://schemas.openxmlformats.org/officeDocument/2006/docPropsVTypes"/>
</file>