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maijā (prot. Nr. 21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1.4.1. specifiskā atbalsta mērķa "Uzlabot digitālo savienojamību" 1.4.1.4. pasākuma "Vienotā kiberdrošības infrastruktūra"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1.4.1. specifiskā atbalsta mērķa "Uzlabot digitālo savienojamību" 1.4.1.4. pasākumu "Vienotā kiberdrošības infrastruktūra"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un plānoto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izveidot vienotu kiberdrošības infrastruktūru, lai nodrošinātu un attīstītu paaugstinātas kiberdrošības pakalpojumu Valsts elektronisko sakaru pakalpojumu centra (turpmāk – centrs)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centra pakalpojumu lietotāji.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atbildīgās iestādes funkcijas pilda Satiksmes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Eiropas Reģionālās attīstības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kopējais attiecināmais finansējums ir vismaz 4 350 000 </w:t>
      </w:r>
      <w:r w:rsidR="00000000" w:rsidRPr="00000000" w:rsidDel="00000000">
        <w:rPr>
          <w:i w:val="1"/>
          <w:rtl w:val="0"/>
        </w:rPr>
        <w:t xml:space="preserve">euro </w:t>
      </w:r>
      <w:r w:rsidR="00000000" w:rsidRPr="00000000" w:rsidDel="00000000">
        <w:rPr>
          <w:rtl w:val="0"/>
        </w:rPr>
        <w:t xml:space="preserve">(no tā elastības finansējums – 686 104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3 697 500 </w:t>
      </w:r>
      <w:r w:rsidR="00000000" w:rsidRPr="00000000" w:rsidDel="00000000">
        <w:rPr>
          <w:i w:val="1"/>
          <w:rtl w:val="0"/>
        </w:rPr>
        <w:t xml:space="preserve">euro </w:t>
      </w:r>
      <w:r w:rsidR="00000000" w:rsidRPr="00000000" w:rsidDel="00000000">
        <w:rPr>
          <w:rtl w:val="0"/>
        </w:rPr>
        <w:t xml:space="preserve">(no tā elastības finansējums – 583 189 </w:t>
      </w:r>
      <w:r w:rsidR="00000000" w:rsidRPr="00000000" w:rsidDel="00000000">
        <w:rPr>
          <w:i w:val="1"/>
          <w:rtl w:val="0"/>
        </w:rPr>
        <w:t xml:space="preserve">euro</w:t>
      </w:r>
      <w:r w:rsidR="00000000" w:rsidRPr="00000000" w:rsidDel="00000000">
        <w:rPr>
          <w:rtl w:val="0"/>
        </w:rPr>
        <w:t xml:space="preserve">) un privātais līdzfinansējums – ne mazāk kā 652 500 </w:t>
      </w:r>
      <w:r w:rsidR="00000000" w:rsidRPr="00000000" w:rsidDel="00000000">
        <w:rPr>
          <w:i w:val="1"/>
          <w:rtl w:val="0"/>
        </w:rPr>
        <w:t xml:space="preserve">euro </w:t>
      </w:r>
      <w:r w:rsidR="00000000" w:rsidRPr="00000000" w:rsidDel="00000000">
        <w:rPr>
          <w:rtl w:val="0"/>
        </w:rPr>
        <w:t xml:space="preserve">(no tā elastības finansējums – 102 915 </w:t>
      </w:r>
      <w:r w:rsidR="00000000" w:rsidRPr="00000000" w:rsidDel="00000000">
        <w:rPr>
          <w:i w:val="1"/>
          <w:rtl w:val="0"/>
        </w:rPr>
        <w:t xml:space="preserve">euro</w:t>
      </w:r>
      <w:r w:rsidR="00000000" w:rsidRPr="00000000" w:rsidDel="00000000">
        <w:rPr>
          <w:rtl w:val="0"/>
        </w:rPr>
        <w:t xml:space="preserve">). Maksimālā Eiropas Reģionālās attīstības fonda finansējuma intensitāte ir 85 procenti no projektam plānotā kopējā attiecināmā finansējuma, nepārsniedzot izmaksu un ieguvumu analīzē aprēķināto finansējuma deficīta procentuālo apmēru, un privātais līdzfinansējums nav mazāks par 15 procentiem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Pieejamais kopējais attiecināmais finansējums līdz 2025. gada 31. decembrim, lai slēgtu līgumu par projekta īstenošanu, ir ne mazāks kā 3 663 896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3 114 311 </w:t>
      </w:r>
      <w:r w:rsidR="00000000" w:rsidRPr="00000000" w:rsidDel="00000000">
        <w:rPr>
          <w:i w:val="1"/>
          <w:rtl w:val="0"/>
        </w:rPr>
        <w:t xml:space="preserve">euro</w:t>
      </w:r>
      <w:r w:rsidR="00000000" w:rsidRPr="00000000" w:rsidDel="00000000">
        <w:rPr>
          <w:rtl w:val="0"/>
        </w:rPr>
        <w:t xml:space="preserve"> un privātais līdzfinansējums – ne mazāks kā 549 585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projekta īstenošanā var piesaistīt papildu privāto finansējumu attiecināmo izmaksu segšanai, tai skaitā elastības finansējuma priekšfinansēšanai.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2026. gada 1. janvāra atbildīgā iestāde atbilstoši Eiropas Komisijas lēmumam par vidusposma pārskatu var ierosināt sadarbības iestādei palielināt projektam pieejamo Eiropas Reģionālās attīstības fonda finansējumu, nepārsniedzot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maksimālo Eiropas Reģionālās attīstības fonda finansējuma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iznākuma rādītājs – līdz 2029. gada 31. decembrim ieviests kiberdrošības risinājums centra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rezultāta rādītājs – kiberdrošības datu ieguve analīzei no centra lietotāju iekārtām – 15 000 iekārtas.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 </w:t>
      </w:r>
      <w:r w:rsidR="00000000" w:rsidRPr="00000000" w:rsidDel="00000000">
        <w:rPr>
          <w:rtl w:val="0"/>
        </w:rPr>
        <w:t xml:space="preserve">apakšpunktā</w:t>
      </w:r>
      <w:r w:rsidR="00000000" w:rsidRPr="00000000" w:rsidDel="00000000">
        <w:rPr>
          <w:rtl w:val="0"/>
        </w:rPr>
        <w:t xml:space="preserve"> minētais nacionālais iznākuma rādītājs ir sasniegts, kad atbilstoši noslēgtajiem līgumiem ir piegādātas un uzstādītas iekārtas un programmnodrošinājums, ko apliecina pieņemšanas un nodošanas akti.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minētā nacionālā rezultāta rādītāja vērtība ir sasniedzama divu gadu laikā pēc projekta noslēguma maksājuma veikšanas, nepārsniedzot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termiņu. Rezultāta rādītāja vērtības sasniegšanu nosaka saskaņā ar finansējuma saņēmēja sadarbības iestādei sniegto pārskatu par vienotās kiberdrošības infrastruktūras ieviešanas statusu un centra lietotāju sistēmu iekārtu skaitu, no kurām tiek iegūti dati analīzei.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deleģētā valsts pārvaldes uzdevuma ietvaros ir valsts akciju sabiedrība "Latvijas Valsts radio un televīzijas centrs".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sistēmu. Projekta iesniegumam pievieno izmaksu un ieguvumu analīzi saskaņā ar tiesību aktiem par kārtību, kādā Eiropas Savienības fondu vadībā iesaistītās institūcijas nodrošina šo fondu ieviešanu 2021.–2027. gada plānošanas periodā. Ja sadarbības iestāde apstiprina projekta iesniegumu, projekta iesniedzējs ir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 šādas atbalstāmās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 kiberaizsardzības nodrošināšana – iekārtu un programmatūras nodrošinājums, lai ieviestu pakalpojumu ievainojamības pārvaldību un virtuālo mašīnu drošību;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un programmatūru nodrošinājums, lai ieviestu pakalpojumu lietotāju tīkla drošības un piekļuves risinājumus;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iekārtu un programmatūru nodrošinājums, lai ieviestu sistēmu un infrastruktūras iekšējā tīkla drošības pakalpojumu;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programmatūru nodrošinājums, lai ieviestu drošības pakalpojumu platformu ar sensoriem un monitoringu informācijas sistēmu uzraudzībai.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maksu par projekta iesnieguma informācijas sagatavošanu un ievietošanu Kohēzijas politikas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tehniskās infrastruktūras iegādes izmaksas, kas nepieciešamas pasākuma mērķa sasniegšanai: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centru un skaitļošanas infrastruktūras tehniskās infrastruktūras un tās darbināšanai nepieciešamās ražotāja sērijveida programmatūras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loģiski vienotā datu centra mākoņa resursu, kā arī, ja nepieciešams, publiskā mākoņa resursu izmantošanas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serveru un tīkla iekārtu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sasniegšanai nepieciešamās programmatūras iegādes, izstrādes  un uzstādīšanas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programmatūras izstrādes vai iegādes izmaksas, tai skaitā izvēlētajai izstrādes metodei atbilstošas dokumentācijas izstrādes izmaksas un izmaksas, kas saistītas ar saskarnes izveidi datu apmaiņai ar ārējām sistēmām (tostarp informācijas sistēmu savietotājiem);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sērijveida programmatūras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kiberdrošības programmatūras iegādes, pielāgojumu izstrādes (tostarp  lietojumprogrammas saskarnes un citi pielāgojumi)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programmatūras licenču un to atjauninājumu izmaksas licenču darbības periodā, kas nepārsniedz piecus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personāla izmaksas, kuras plāno kā vienu izmaksu pozīciju, piemērojot vienoto izmaksu likmi 11 procentu apmērā no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 minētajām projekta pārējām tiešajām attiecināmajām izmaksām saskaņā ar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55. panta 1.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attiecināmajām izmaksām saskaņā ar </w:t>
      </w:r>
      <w:r w:rsidR="00000000" w:rsidRPr="00000000" w:rsidDel="00000000">
        <w:rPr>
          <w:rtl w:val="0"/>
        </w:rPr>
        <w:t xml:space="preserve">regulas Nr. 2021/1060</w:t>
      </w:r>
      <w:r w:rsidR="00000000" w:rsidRPr="00000000" w:rsidDel="00000000">
        <w:rPr>
          <w:rtl w:val="0"/>
        </w:rPr>
        <w:t xml:space="preserve"> 64. panta 1. punkta ''c'' apakšpunktu, ja pievienotās vērtības nodoklis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izmaksas nepārsniedz 10 procentus no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īstenošanā radušās izmaksas var uzskatīt par attiecināmām finansēšanai no Eiropas Reģionālās attīstības fonda, ja tās atbilst šo noteikumu 17. punktā ietvertajām izmaksu pozīcijām un ir radušās ne agrāk kā 2022. gada 25. novembrī. Projekta iesniegumā neiekļauj un finansējumu nepiešķir pabeigtām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rezultātu ilgtspēju vismaz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 projekta īstenošanā radītās vērtības un nodrošina nepieciešamos līdzekļus to uzturēšanai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rādītājiem un nodrošina vienotu metodoloģiju rādītāju uzskaitei projektā;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pasākumus saskaņā ar </w:t>
      </w:r>
      <w:r w:rsidR="00000000" w:rsidRPr="00000000" w:rsidDel="00000000">
        <w:rPr>
          <w:rtl w:val="0"/>
        </w:rPr>
        <w:t xml:space="preserve">regulas Nr. 2021/1060</w:t>
      </w:r>
      <w:r w:rsidR="00000000" w:rsidRPr="00000000" w:rsidDel="00000000">
        <w:rPr>
          <w:rtl w:val="0"/>
        </w:rPr>
        <w:t xml:space="preserve"> 47. un 50. pantu un kārtību, kādā Eiropas Savienības fondu vadībā iesaistītās institūcijas nodrošina šo fondu ieviešanu 2021.–2027. gada plānošanas periodā, ņemot vērā Eiropas Savienības fondu 2021.–2027. gada plānošanas perioda un Atveseļošanas fonda komunikācijas un dizaina vadlīnijas;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lai projekta īstenošanā radītā infrastruktūra tiktu izmantota tikai deleģētā valsts pārvaldes uzdevuma izpildei;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 kā arī nodrošina, ka finansējuma saņēmēja darbinieki, kuri saistīti ar projekta īstenošanu, paraksta interešu konflikta neesības apliecinājumu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un publiskos iepirkumus regulējošo normatīvo aktu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attiecināms, finansējuma saņēmējs nodrošina vides prasību integrāciju preču un pakalpojumu iepirkumos (zaļais publiskais iepirkums) un piemēro inovatīvā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projektu īsteno saskaņā ar noslēgto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īstenošanā veiktie ieguldījumi ir finansējuma saņēmēja īpašums.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23-TA-1064</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23-TA-1064</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noteikumu_projekts_23-TA-1064.docx</dc:title>
</cp:coreProperties>
</file>

<file path=docProps/custom.xml><?xml version="1.0" encoding="utf-8"?>
<Properties xmlns="http://schemas.openxmlformats.org/officeDocument/2006/custom-properties" xmlns:vt="http://schemas.openxmlformats.org/officeDocument/2006/docPropsVTypes"/>
</file>