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5.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Būvspeciālistu uzraudzības un kompetences novērtēšanas cenrādis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526"/>
        <w:gridCol w:w="2047"/>
        <w:gridCol w:w="1377"/>
        <w:gridCol w:w="1377"/>
        <w:gridCol w:w="1377"/>
        <w:tblGridChange w:id="0">
          <w:tblGrid>
            <w:gridCol w:w="514"/>
            <w:gridCol w:w="2526"/>
            <w:gridCol w:w="2047"/>
            <w:gridCol w:w="1377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Uzraudzība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 vienā darbības sfērā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Kompetenču, prasmju un zināšanu līmeņa novērtēšana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persona, viens eksāmens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pilnveides pārbaude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persona, viens eksāmens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pilnveides pārbaude daļējā apjomā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persona, viens eksāmens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color w:val="#000000"/>
          <w:sz w:val="24"/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color w:val="#000000"/>
          <w:sz w:val="24"/>
          <w:rtl w:val="0"/>
        </w:rPr>
        <w:t xml:space="preserve"> Pievienotās vērtības nodokli nepiemēro saskaņā ar Pievienotās vērtības nodokļa likuma 3. panta astoto daļu.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24-TA-1117</w:t>
    </w:r>
    <w:r>
      <w:br/>
    </w:r>
    <w:r w:rsidR="00000000" w:rsidRPr="00000000" w:rsidDel="00000000">
      <w:rPr>
        <w:rtl w:val="0"/>
      </w:rPr>
      <w:t xml:space="preserve">Izdrukāts 29.07.2026. 21.09 - 1.0.VK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24-TA-1117</w:t>
    </w:r>
    <w:r>
      <w:br/>
    </w:r>
    <w:r w:rsidR="00000000" w:rsidRPr="00000000" w:rsidDel="00000000">
      <w:rPr>
        <w:rtl w:val="0"/>
      </w:rPr>
      <w:t xml:space="preserve">Izdrukāts 29.07.2026. 21.09 - 1.0.VK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noteikumu_konsolidētā_versija_p_24-TA-1117.docx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