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septembrī (prot. Nr. 43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5. septembra noteikumos Nr. 537 "Noteikumi par portfeļgarantijām sīko (mikro), mazo un vidējo saimnieciskās darbības veicēju – juridisko personu – kreditēšanas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 panta ceturto daļu un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5. septembra noteikumos Nr. 537 "Noteikumi par portfeļgarantijām sīko (mikro), mazo un vidējo saimnieciskās darbības veicēju – juridisko personu – kreditēšanas veicināšanai" (Latvijas Vēstnesis, 2017, 180. nr.; 2018, 49. nr.; 2020, 60A., 74A., 248. nr.; 2021, 77., 130. nr.; 2022, 53.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Attīstības finanšu institūcijas likuma 12. panta ceturto daļu un Eiropas Savienības fondu 2021.–2027. gada plānošanas perioda vadības likuma 19. panta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garantiju atbalsta piešķiršanas nosacījumus, finansēšanas kārtību un valsts atbalsta nosacījumus sīkajiem (mikro), mazajiem, vidējiem, mazajiem vidējās kapitalizācijas un vidējās kapitalizācijas saimnieciskās darbības veicējiem – juridiskām personām (turpmāk – saimnieciskās darbības veicēji) – ierobežotas portfeļgarantijas veidā, kā arī Covid-19 izraisītās krīzes portfeļgarantijas nosacījumus un Eiropas Savienības kohēzijas politikas programmas 2021.–2027. gadam 1.2.3. specifiskā atbalsta mērķa "Veicināt ilgtspējīgu izaugsmi, konkurētspēju un darba vietu radīšanu MVU, tostarp ar produktīvām investīcijām" 1.2.3.4. pasākuma "Garantijas, portfeļgarantijas pilna cikla uzņēmējdarbībai" (turpmāk – 1.2.3.4. pasākums) portfeļgarantiju nosacījumus tiešo finanšu instrumentu veidā.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Mazajiem vidējās kapitalizācijas un vidējās kapitalizācijas saimnieciskās darbības veicējiem ir pieejama garantija tikai 1.2.3.4. pasākuma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Garantiju izsniegšanai un sabiedrības "Altum" pārvaldības izmaksu segšanai izmanto Eiropas Savienības struktūrfondu un Kohēzijas fonda 2007.–2013. gada plānošanas perioda atmaksāto finansējumu 14 300 000 </w:t>
      </w:r>
      <w:r w:rsidR="00000000" w:rsidRPr="00000000" w:rsidDel="00000000">
        <w:rPr>
          <w:i w:val="1"/>
          <w:rtl w:val="0"/>
        </w:rPr>
        <w:t xml:space="preserve">euro </w:t>
      </w:r>
      <w:r w:rsidR="00000000" w:rsidRPr="00000000" w:rsidDel="00000000">
        <w:rPr>
          <w:rtl w:val="0"/>
        </w:rPr>
        <w:t xml:space="preserve">apmērā, šī finansējuma atmaksas un otrreiz atmaksāto finansējumu, ko  plānots izmantot atkārtoti,  līdz 14 300 000 </w:t>
      </w:r>
      <w:r w:rsidR="00000000" w:rsidRPr="00000000" w:rsidDel="00000000">
        <w:rPr>
          <w:i w:val="1"/>
          <w:rtl w:val="0"/>
        </w:rPr>
        <w:t xml:space="preserve">euro</w:t>
      </w:r>
      <w:r w:rsidR="00000000" w:rsidRPr="00000000" w:rsidDel="00000000">
        <w:rPr>
          <w:rtl w:val="0"/>
        </w:rPr>
        <w:t xml:space="preserve">, kā arī šo noteikumu 12. punktā minētos maksājumus: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darbības programmas "Uzņēmējdarbība un inovācijas" 2.2.1.4.1. apakšaktivitātes "Atbalsts aizdevumu veidā komersantu konkurētspējas uzlabošanai" ietvaros atmaksāto publisko finansējumu – 10 000 000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darbības programmas "Cilvēkresursi un nodarbinātība" papildinājuma 1.3.1.2. aktivitātes "Atbalsts pašnodarbinātības un uzņēmējdarbības uzsākšanai" ietvaros atmaksāto publisko finansējumu – 4 300 000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Garantiju izsniegšanai sabiedrība "Altum" izmanto 1.2.3.4. pasākumam pieejamo finansējumu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saimnieciskās darbības veicējs atbilst Komisijas 2014. gada 17. jūnija Regulas (ES) Nr. 651/2014, ar ko noteiktas atbalsta kategorijas atzīst par saderīgām ar iekšējo tirgu, piemērojot Līguma 107. un 108. pantu (turpmāk – Komisijas regula Nr. 651/2014), 1. pielikumā noteiktajām mikrouzņēmumu, mazo un vidējo uzņēmumu definīcijām vai Eiropas Parlamenta un Padomes 2015. gada 25. jūnija Regulas (ES) 2015/1017 par Eiropas Stratēģisko investīciju fondu, Eiropas Investīciju konsultāciju centru un Eiropas Investīciju projektu portālu, ar ko groza Regulas (ES) Nr. 1291/2013 un (ES) Nr. 1316/2013 – Eiropas Stratēģisko investīciju fonds, 2. panta 6. un 7. punktā noteiktajām mazo vidējās kapitalizācijas un vidējās kapitalizācijas sabiedrības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vienam saimnieciskās darbības veicējam garantēto finanšu pakalpojumu summa nepārsniedz 250 000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izņemot gadījumu, ja garantija tiek sniegta 1.2.3.4. pasākuma ietvaros, kad garantēto finanšu pakalpojumu summa nepārsniedz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10.9.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mazo vidējās kapitalizācijas un vidējās kapitalizācijas saimnieciskās darbības veicēju garantijas kredīta kvalitāte ir pielīdzināma vismaz B– kredītreitingam, kas norādīts šo noteikumu pielikumā minētajai kredīta kvalitātes klasei "Maksātspēju varētu mazināt nelabvēlīgi apstākļi" atbilstoši Komisijas regulas Nr. 1407/2013 4. panta 6. punkta "a"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saimnieciskās darbības veicējiem, kuri darbojas Komisijas regulas Nr. 1407/2013 1. panta 1. punkta "a", "b" un "c" apakšpunktā minētajās nozarēs vai veic darbības, kas noteiktas Komisijas regulas Nr. 1407/2013 1. panta 1. punkta "d" un "e"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Papildus šo noteikumu 13. punkta nosacījumiem 1.2.3.4. pasākuma ietvaros garantiju nepiešķir: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 nozarē, kas noteikta Eiropas Parlamenta un Padomes 2021. gada 24. jūnija Regulas (ES) Nr. 2021/1058 par Eiropas Reģionālās attīstības fondu un Kohēzijas fondu 7. panta 1.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 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"b"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 Eiropas Savienības fondu projektu līdzfinansēšanai, tai skaitā priekšfinansēšanai saskaņā ar regulas Nr. 2021/1060 58. panta 7.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 darbībām, kuras uzskatāmas par faktiski pabeigtām vai pilnībā īstenotām, pirms ir iesniegts pieteikums atbalsta programmas finansējuma saņemšanai, ievērojot regulas Nr. 2021/1060 63. panta 6.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 esošu vai jaunu saistību dzēšanai, tai skaitā parāda procentiem saskaņā ar regulas Nr. 2021/1060 64. panta 1.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Pirms līguma noslēgšanas ar kredītiestādi sabiedrība "Altum" iesniedz saskaņošanai Ekonomikas ministrijā un Finanšu ministrijā, bet attiecībā uz 1.2.3.4. pasākumu – Centrālajā Finanšu un līgumu aģentūrā sabiedrības "Altum" izstrādātu metodoloģiju par visu finansiālo priekšrocību nodošanu saimnieciskās darbības veicējiem. Metodoloģiju pamato ar kredītiestāžu cenu noteikšanas un nodrošinājuma politiku."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Ja ir pārkāptas Komisijas regulas Nr. 1407/2013 prasības, atbalsta saņēmējam ir pienākums atmaksāt sabiedrībai "Altum"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23-TA-337</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23-TA-337</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noteikumu_(grozījumu)_projekts_23-TA-337.docx</dc:title>
</cp:coreProperties>
</file>

<file path=docProps/custom.xml><?xml version="1.0" encoding="utf-8"?>
<Properties xmlns="http://schemas.openxmlformats.org/officeDocument/2006/custom-properties" xmlns:vt="http://schemas.openxmlformats.org/officeDocument/2006/docPropsVTypes"/>
</file>