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gala labuma guvēju pieteikumu vērtēšanā.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gala labuma guvēju likuma "Par interešu konflikta novēršanu valsts amatpersonu darbībā" izpratnē un Regulas (ES) Nr. 2018/1046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gala labuma guvēju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gala labuma guvēju pieteikumus, savus pienākumus veikšu atbildīgi un profesionāli, kā arī sniegšu objektīvus atzinumus.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guvēju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22-TA-2786</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22-TA-2786</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noteikumu_projekts_p1_22-TA-2786.docx</dc:title>
</cp:coreProperties>
</file>

<file path=docProps/custom.xml><?xml version="1.0" encoding="utf-8"?>
<Properties xmlns="http://schemas.openxmlformats.org/officeDocument/2006/custom-properties" xmlns:vt="http://schemas.openxmlformats.org/officeDocument/2006/docPropsVTypes"/>
</file>