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Nozares un darbības, kurām nav paredzēts atbalsts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Tirdzniecības nozare – atbalsts nav paredzēts darbībām, kas minētas NACE 2. red. G sadaļā "Vairumtirdzniecība un mazumtirdzniecība; automobiļu un motociklu remonts", izņemot grupu 45.2 "Automobiļu apkope un remonts".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Finanšu starpniecības nozare – atbalsts nav paredzēts darbībām, kas minētas NACE 2. red. K sadaļā "Finanšu un apdrošināšanas darbības".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Komercpakalpojumu nozare – atbalsts nav paredzēts darbībām, kas minētas NACE 2. red. L sadaļā "Operācijas ar nekustamo īpašumu" un 77. nodaļā "Iznomāšana un ekspluatācijas līzings".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Azartspēļu nozare – atbalsts nav paredzēts darbībām, kas minētas NACE 2. red. R sadaļā "Māksla, izklaide un atpūta" un 92. nodaļā "Azartspēles un derības".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22-TA-2786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22-TA-2786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noteikumu_projekts_p2_22-TA-2786.docx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