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6. decembrī (prot. Nr. 60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2023. gadam un budžeta ietvaru 2023., 2024. un 2025. gadam" 66. pantu, atbalstīt apropriācijas pārdali 200 000 000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Aizsardzības ministrijas budžeta apakšprogrammu 22.12.00 "Nacionālo bruņoto spēku uzturēšana", lai nodrošinātu pretgaisa aizsardzības sistēmu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23-TA-2961</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23-TA-2961</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rīkojuma_projekts_23-TA-2961.docx</dc:title>
</cp:coreProperties>
</file>

<file path=docProps/custom.xml><?xml version="1.0" encoding="utf-8"?>
<Properties xmlns="http://schemas.openxmlformats.org/officeDocument/2006/custom-properties" xmlns:vt="http://schemas.openxmlformats.org/officeDocument/2006/docPropsVTypes"/>
</file>