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septembrī (prot. Nr. 44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(Latvijas Vēstnesis, 2023, 73.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līdz 2026. gada 31. martam sasniedzamais mērķis: izveidoto elektrificēto dzelzceļa līniju un modernizēto esošo dzelzceļa līniju garums pasažieru pārvadāšanai  – 70 km;".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23-TA-1399</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23-TA-1399</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noteikumu_(grozījumu)_projekts_23-TA-1399.docx</dc:title>
</cp:coreProperties>
</file>

<file path=docProps/custom.xml><?xml version="1.0" encoding="utf-8"?>
<Properties xmlns="http://schemas.openxmlformats.org/officeDocument/2006/custom-properties" xmlns:vt="http://schemas.openxmlformats.org/officeDocument/2006/docPropsVTypes"/>
</file>