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Regulētajā tirgū iekļauto akciju turētāju kapitālsabiedrību dzimumu līdzsvarotas pārstāvības likums</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Likuma mērķis un darbības joma</w:t>
      </w:r>
    </w:p>
    <w:p w:rsidP="00000000" w:rsidRDefault="00000000" w:rsidR="00000000" w:rsidRPr="00000000" w:rsidDel="00000000">
      <w:pPr>
        <w:numPr>
          <w:ilvl w:val="0"/>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Likuma mērķis ir nodrošināt sieviešu un vīriešu līdzsvarotu pārstāvību tādu kapitālsabiedrību valdēs un padomēs, kuru akcijas ir iekļautas regulētajā tirgū (turpmāk – dzimumu līdzsvars).</w:t>
      </w:r>
    </w:p>
    <w:p w:rsidP="00000000" w:rsidRDefault="00000000" w:rsidR="00000000" w:rsidRPr="00000000" w:rsidDel="00000000">
      <w:pPr>
        <w:numPr>
          <w:ilvl w:val="0"/>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Dzimumu līdzsvara nodrošināšana attiecas uz tādām kapitālsabiedrībām, kuru akcijas ir iekļautas regulētajā tirgū, kas divus pārskata gadus pēc kārtas atbilst šādiem kritērijiem:</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juridiskā adrese ir Latvijā;</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vidējais darbinieku skaits ir vismaz 250 nodarbināto;</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neto apgrozījums ir vismaz 50 miljoni </w:t>
      </w:r>
      <w:r w:rsidR="00000000" w:rsidRPr="00000000" w:rsidDel="00000000">
        <w:rPr>
          <w:i w:val="1"/>
          <w:rtl w:val="0"/>
        </w:rPr>
        <w:t xml:space="preserve">euro</w:t>
      </w:r>
      <w:r w:rsidR="00000000" w:rsidRPr="00000000" w:rsidDel="00000000">
        <w:rPr>
          <w:rtl w:val="0"/>
        </w:rPr>
        <w:t xml:space="preserve"> vai bilances kopsumma ir vismaz 43 miljoni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Dzimumu līdzsvara nodrošināšana</w:t>
      </w:r>
    </w:p>
    <w:p w:rsidP="00000000" w:rsidRDefault="00000000" w:rsidR="00000000" w:rsidRPr="00000000" w:rsidDel="00000000">
      <w:pPr>
        <w:numPr>
          <w:ilvl w:val="0"/>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Kapitālsabiedrības, kuras atbilst šā likuma 1. panta otrajā daļā minētajiem nosacījumiem (turpmāk – likuma subjekts), ievērojot šā likuma pielikumā noteikto minimālo nepietiekami pārstāvētā dzimuma ieņemamo amata vietu skaitu kapitālsabiedrību pārvaldes institūcijās, kā arī šā likuma 3. panta trešo un ceturto daļu, var nodrošināt dzimumu līdzsvaru vienā no šādiem veidiem:</w:t>
      </w:r>
    </w:p>
    <w:p w:rsidP="00000000" w:rsidRDefault="00000000" w:rsidR="00000000" w:rsidRPr="00000000" w:rsidDel="00000000">
      <w:pPr>
        <w:numPr>
          <w:ilvl w:val="1"/>
          <w:numId w:val="2"/>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nepietiekami pārstāvētā dzimuma pārstāvji ieņem vismaz 40 procentus no padomes locekļu amatiem;</w:t>
      </w:r>
    </w:p>
    <w:p w:rsidP="00000000" w:rsidRDefault="00000000" w:rsidR="00000000" w:rsidRPr="00000000" w:rsidDel="00000000">
      <w:pPr>
        <w:numPr>
          <w:ilvl w:val="1"/>
          <w:numId w:val="2"/>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nepietiekami pārstāvētā dzimuma pārstāvji ieņem vismaz 33 procentus no visiem padomes un valdes locekļu amatiem.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Kandidātu atlases procesa nodrošināšana</w:t>
      </w:r>
    </w:p>
    <w:p w:rsidP="00000000" w:rsidRDefault="00000000" w:rsidR="00000000" w:rsidRPr="00000000" w:rsidDel="00000000">
      <w:pPr>
        <w:numPr>
          <w:ilvl w:val="0"/>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Valdes un padomes amata locekļu atlasē ir aizliegta atšķirīga attieksme atkarībā no personas rases, ādas krāsas, dzimuma, vecuma, invaliditātes, reliģiskās, politiskās vai citas pārliecības, nacionālās vai sociālās izcelsmes, mantiskā vai ģimenes stāvokļa, seksuālās orientācijas vai citiem apstākļiem. Atšķirīga attieksme ietver personas tiešu vai netiešu diskrimināciju, personas aizskaršanu vai norādījumu to diskriminēt.</w:t>
      </w:r>
    </w:p>
    <w:p w:rsidP="00000000" w:rsidRDefault="00000000" w:rsidR="00000000" w:rsidRPr="00000000" w:rsidDel="00000000">
      <w:pPr>
        <w:numPr>
          <w:ilvl w:val="0"/>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Likuma subjekts, kurš nav sasniedzis dzimumu līdzsvaru vienā no šā likuma 2. pantā noteiktajiem veidiem, pirms valdes vai padomes amata kandidātu atlases uzsākšanas savā tīmekļvietnē viegli pieejamā veidā publicē dzimumneitrālu paziņojumu par valdes vai padomes amata kandidātu atlases uzsākšanu (turpmāk šajā pantā – paziņojums). Paziņojumā nosaka fiziskām personām, kuras piedalīsies minētajā atlasē (turpmāk – kandidāti), skaidrus, neitrāli formulētus un nepārprotamus atlases kritērijus un prasības kandidātu kvalifikācijai, lai noskaidrotu kandidātu profesionālās kvalifikācijas piemērotību, kompetenci un profesionālo sniegumu.</w:t>
      </w:r>
    </w:p>
    <w:p w:rsidP="00000000" w:rsidRDefault="00000000" w:rsidR="00000000" w:rsidRPr="00000000" w:rsidDel="00000000">
      <w:pPr>
        <w:numPr>
          <w:ilvl w:val="0"/>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Likuma subjekts šā panta otrajā daļā minētos kandidātu atlases kritērijus konsekventi un objektīvi piemēro visos kandidātu atlases posmos, veicot kandidātu kvalifikācijas salīdzinošo izvērtējumu.</w:t>
      </w:r>
    </w:p>
    <w:p w:rsidP="00000000" w:rsidRDefault="00000000" w:rsidR="00000000" w:rsidRPr="00000000" w:rsidDel="00000000">
      <w:pPr>
        <w:numPr>
          <w:ilvl w:val="0"/>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Izvēloties starp kandidātiem ar līdzvērtīgu kvalifikāciju, kompetenci un sniegumu, likuma subjekts priekšroku dod nepietiekami pārstāvētā dzimuma kandidātam, lai nodrošinātu dzimumu līdzsvaru vienā no šā likuma 2. pantā noteiktajiem veidiem. Likuma subjekts var izvēlēties vairāk pārstāvētā dzimuma kandidātu, ja līdzvērtīgas kvalifikācijas gadījumā pamatotu iemeslu dēļ ņem vērā vairāk pārstāvētā dzimuma kandidāta īpašo situāciju, kas palīdz sasniegt citus likuma subjekta personāla dažādības veicināšanas mērķus, iekļaujot valdē vai padomē kādu šā panta pirmajā daļā minēto atšķirīgas attieksmes riskiem pakļauto personu grupu kandidātu, un šīs izvēles pamatā ir objektīvi un nediskriminējoši kritēriji.</w:t>
      </w:r>
    </w:p>
    <w:p w:rsidP="00000000" w:rsidRDefault="00000000" w:rsidR="00000000" w:rsidRPr="00000000" w:rsidDel="00000000">
      <w:pPr>
        <w:numPr>
          <w:ilvl w:val="0"/>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likuma subjekta veiktās kandidātu atlases ietvaros nepietiekami pārstāvētā dzimuma kandidātu atzīst par atbilstošu kvalifikācijas kritērijiem, bet atlases rezultātā likuma subjekts izvēlas kandidātu, kas nav nepietiekami pārstāvētā dzimuma pārstāvis, likuma subjekts 10 darbdienu laikā pēc minētā kandidāta rakstveida pieprasījuma saņemšanas rakstveidā sniedz kandidātam informāciju par katrā kandidātu atlases posmā (tai skaitā lēmuma pieņemšanā par kandidāta iecelšanu vai ievēlēšanu valdē vai padomē) veikto kandidātu salīdzinošo izvērtējumu un apsvērumiem vairāk pārstāvētā dzimuma pārstāvja izvēlē.</w:t>
      </w:r>
    </w:p>
    <w:p w:rsidP="00000000" w:rsidRDefault="00000000" w:rsidR="00000000" w:rsidRPr="00000000" w:rsidDel="00000000">
      <w:pPr>
        <w:numPr>
          <w:ilvl w:val="0"/>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strīda gadījumā kandidāts norāda uz apstākļiem, kas varētu būt par pamatu viņa tiešai vai netiešai diskriminācijai dzimuma dēļ vai šā likuma prasībām neatbilstošai kandidātu atlasei, likuma subjekta pienākums ir pierādīt, ka atšķirīgas attieksmes aizliegums nav pārkāpts un kandidātu atlases procesā ir ievērotas šā likuma prasības.</w:t>
      </w:r>
    </w:p>
    <w:p w:rsidP="00000000" w:rsidRDefault="00000000" w:rsidR="00000000" w:rsidRPr="00000000" w:rsidDel="00000000">
      <w:pPr>
        <w:numPr>
          <w:ilvl w:val="0"/>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Likuma subjekts glabā informāciju par kandidātu atlases procesu un par kandidātu salīdzinošo izvērtējumu divus gadus pēc minētās atlases beigām.</w:t>
      </w:r>
    </w:p>
    <w:p w:rsidP="00000000" w:rsidRDefault="00000000" w:rsidR="00000000" w:rsidRPr="00000000" w:rsidDel="00000000">
      <w:pPr>
        <w:numPr>
          <w:ilvl w:val="0"/>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nodrošinātu kandidātu atlases procesa atbilstību šajā pantā noteiktajām prasībām, Sabiedrības integrācijas fonds pēc likuma subjekta lūguma sniedz informatīvu atbalstu par korporatīvās vadības dažādības veicināšanu šā likuma 2. pantā noteiktā dzimumu līdzsvara sasniegšanai un šajā pantā noteiktā atklāta atlases procesa nodrošināšanai.</w:t>
      </w:r>
    </w:p>
    <w:p w:rsidP="00000000" w:rsidRDefault="00000000" w:rsidR="00000000" w:rsidRPr="00000000" w:rsidDel="00000000">
      <w:pPr>
        <w:numPr>
          <w:ilvl w:val="0"/>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Likuma subjekts informē akcionāru sapulci pirms kandidātu atlases procesa uzsākšanas par pienākumu nodrošināt dzimumu līdzsvaru padomē vienā no šā likuma 2. pantā noteiktajiem veidiem un par šajā likumā noteikto likuma subjekta atbildību.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Ziņošanas pienākumi</w:t>
      </w:r>
    </w:p>
    <w:p w:rsidP="00000000" w:rsidRDefault="00000000" w:rsidR="00000000" w:rsidRPr="00000000" w:rsidDel="00000000">
      <w:pPr>
        <w:numPr>
          <w:ilvl w:val="0"/>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Likuma subjekts reizi gadā sagatavo informāciju par dzimumu pārstāvību tā valdē un padomē un pasākumiem, kas ir veikti, lai sasniegtu dzimumu līdzsvaru. Ja likuma subjekts nav sasniedzis dzimumu līdzsvaru vienā no šā likuma 2. pantā noteiktajiem veidiem, informācijā par dzimumu pārstāvību valdē un padomē norāda iemeslus, kādēļ dzimumu līdzsvars nav sasniegts, un aprakstu par pasākumiem, kurus likuma subjekts ir veicis vai plāno veikt tā sasniegšanai.</w:t>
      </w:r>
    </w:p>
    <w:p w:rsidP="00000000" w:rsidRDefault="00000000" w:rsidR="00000000" w:rsidRPr="00000000" w:rsidDel="00000000">
      <w:pPr>
        <w:numPr>
          <w:ilvl w:val="0"/>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Likuma subjekts piemērotā un viegli pieejamā veidā publicē šā panta pirmajā daļā noteikto informāciju savā tīmekļvietnē un iekļauj to paziņojumā par korporatīvo pārvaldību saskaņā ar Finanšu instrumentu tirgus likuma 56.</w:t>
      </w:r>
      <w:r w:rsidR="00000000" w:rsidRPr="00000000" w:rsidDel="00000000">
        <w:rPr>
          <w:vertAlign w:val="superscript"/>
          <w:rtl w:val="0"/>
        </w:rPr>
        <w:t xml:space="preserve">2 </w:t>
      </w:r>
      <w:r w:rsidR="00000000" w:rsidRPr="00000000" w:rsidDel="00000000">
        <w:rPr>
          <w:rtl w:val="0"/>
        </w:rPr>
        <w:t xml:space="preserve">pantu.</w:t>
      </w:r>
    </w:p>
    <w:p w:rsidP="00000000" w:rsidRDefault="00000000" w:rsidR="00000000" w:rsidRPr="00000000" w:rsidDel="00000000">
      <w:pPr>
        <w:numPr>
          <w:ilvl w:val="0"/>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Likuma subjekts reizi gadā iesniedz šā panta pirmajā daļā noteikto informāciju Latvijas Bankai. Likuma subjekts var nesniegt minēto informāciju Latvijas Bankai, ja tā ir iekļauta paziņojumā par korporatīvo pārvaldību atbilstoši Finanšu instrumentu tirgus likuma prasībām un minētais paziņojums ir pieejams oficiālajā regulētās informācijas centralizētās glabāšanas sistēmā.</w:t>
      </w:r>
    </w:p>
    <w:p w:rsidP="00000000" w:rsidRDefault="00000000" w:rsidR="00000000" w:rsidRPr="00000000" w:rsidDel="00000000">
      <w:pPr>
        <w:numPr>
          <w:ilvl w:val="0"/>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Likuma subjektam, kurš nav sasniedzis dzimumu līdzsvaru vienā no šā likuma 2. pantā noteiktajiem veidiem, papildus šā panta pirmajā daļā noteiktajai informācijai ir pienākums iesniegt Latvijas Bankai informāciju, kas apliecina veikto kandidātu atlases procesu atbilstību šā likuma 3. panta otrajā, trešajā, ceturtajā un piektajā daļā noteiktajām prasībām.</w:t>
      </w:r>
    </w:p>
    <w:p w:rsidP="00000000" w:rsidRDefault="00000000" w:rsidR="00000000" w:rsidRPr="00000000" w:rsidDel="00000000">
      <w:pPr>
        <w:numPr>
          <w:ilvl w:val="0"/>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Pamatojoties uz likuma subjektu sniegto informāciju, Latvijas Banka viegli pieejamā veidā publicē savā tīmekļvietnē un regulāri aktualizē to likuma subjektu sarakstu, kuri ir sasnieguši dzimumu līdzsvaru vienā no šā likuma 2. pantā noteiktajiem veidiem.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Uzraudzība</w:t>
      </w:r>
    </w:p>
    <w:p w:rsidP="00000000" w:rsidRDefault="00000000" w:rsidR="00000000" w:rsidRPr="00000000" w:rsidDel="00000000">
      <w:pPr>
        <w:numPr>
          <w:ilvl w:val="0"/>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Lai nodrošinātu šā likuma prasību ievērošanu, Latvijas Bankai ir tiesības:</w:t>
      </w:r>
    </w:p>
    <w:p w:rsidP="00000000" w:rsidRDefault="00000000" w:rsidR="00000000" w:rsidRPr="00000000" w:rsidDel="00000000">
      <w:pPr>
        <w:numPr>
          <w:ilvl w:val="1"/>
          <w:numId w:val="5"/>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pieprasīt šajā likumā noteikto uzdevumu veikšanai nepieciešamo informāciju un dokumentus no likuma subjektiem, personām, kas organizē likuma subjekta kandidātu atlases procesu valdes vai padomes amatiem, kandidātiem un citām personām, kuras iesaistītas kandidātu atlases procesā;</w:t>
      </w:r>
    </w:p>
    <w:p w:rsidP="00000000" w:rsidRDefault="00000000" w:rsidR="00000000" w:rsidRPr="00000000" w:rsidDel="00000000">
      <w:pPr>
        <w:numPr>
          <w:ilvl w:val="1"/>
          <w:numId w:val="5"/>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 Sabiedrības integrācijas fonda dažādības ekspertu viedokli ar ieteikumiem par likuma subjekta 4. panta otrās, trešās  un ceturtās daļas noteiktajā kārtībā sniegto informāciju;</w:t>
      </w:r>
    </w:p>
    <w:p w:rsidP="00000000" w:rsidRDefault="00000000" w:rsidR="00000000" w:rsidRPr="00000000" w:rsidDel="00000000">
      <w:pPr>
        <w:numPr>
          <w:ilvl w:val="1"/>
          <w:numId w:val="5"/>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informēt likuma subjektu par Sabiedrības integrācijas fonda ekspertu sniegto viedokli.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Pārkāpumu novēršana un informācijas publicēšana</w:t>
      </w:r>
    </w:p>
    <w:p w:rsidP="00000000" w:rsidRDefault="00000000" w:rsidR="00000000" w:rsidRPr="00000000" w:rsidDel="00000000">
      <w:pPr>
        <w:numPr>
          <w:ilvl w:val="0"/>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Bankai ir tiesības noteikt likuma subjektam pienākumu noteiktā termiņā novērst šā likuma 3. panta otrajā, trešajā, ceturtajā un piektajā daļā un 4. pantā minēto prasību pārkāpumus. Ja Latvijas Bankas lēmums par šā likuma 3. panta otrajā, trešajā, ceturtajā un piektajā daļā  minētās prasības pārkāpuma novēršanu tiek apstrīdēts vai pārsūdzēts, tas neaptur lēmuma darbību.</w:t>
      </w:r>
    </w:p>
    <w:p w:rsidP="00000000" w:rsidRDefault="00000000" w:rsidR="00000000" w:rsidRPr="00000000" w:rsidDel="00000000">
      <w:pPr>
        <w:numPr>
          <w:ilvl w:val="0"/>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Banka publicē savā tīmekļvietnē informāciju par pieņemtajiem lēmumiem saistībā ar šā likuma prasību pārkāpumiem, norādot likuma subjektu, pārkāpuma būtību, ziņas par Latvijas Bankas pieņemto lēmumu, tā apstrīdēšanu vai pārsūdzēšanu un izpildi, tostarp piemērotajiem piespiedu izpildes līdzekļiem. Minētā informācija ir pieejama Latvijas Bankas tīmekļvietnē piecus gadus pēc tās publicēšanas.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Pārejas noteikums</w:t>
      </w:r>
    </w:p>
    <w:p w:rsidP="00000000" w:rsidRDefault="00000000" w:rsidR="00000000" w:rsidRPr="00000000" w:rsidDel="00000000">
      <w:pPr>
        <w:numPr>
          <w:ilvl w:val="0"/>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Kapitālsabiedrības, kuru akcijas iekļautas regulētajā tirgū un kuras atbilst šā likuma 1. panta otrajā daļā minētajiem kritērijiem, nodrošina šā likuma 2. pantā noteikto prasību ievērošanu ne vēlāk kā līdz 2026. gada 30. jūnijam.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Likumā iekļautas tiesību normas, kas izriet no Eiropas Parlamenta un Padomes 2022. gada 23. novembra direktīvas (ES) 2022/2381 par dzimumu līdzsvara uzlabošanu biržā kotētu uzņēmumu direktoru vidū un saistītiem pasākumiem.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rtl w:val="0"/>
        </w:rPr>
        <w:t xml:space="preserve">Likums stājas spēkā nākamajā dienā pēc izsludināšanas.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Labklājības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Uzulnieks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Likumprojekts 25-TA-1441</w:t>
    </w:r>
    <w:r>
      <w:br/>
    </w:r>
    <w:r w:rsidR="00000000" w:rsidRPr="00000000" w:rsidDel="00000000">
      <w:rPr>
        <w:rtl w:val="0"/>
      </w:rPr>
      <w:t xml:space="preserve">Izdrukāts 29.07.2026. 22.39 - 1.0.VK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Likumprojekts 25-TA-1441</w:t>
    </w:r>
    <w:r>
      <w:br/>
    </w:r>
    <w:r w:rsidR="00000000" w:rsidRPr="00000000" w:rsidDel="00000000">
      <w:rPr>
        <w:rtl w:val="0"/>
      </w:rPr>
      <w:t xml:space="preserve">Izdrukāts 29.07.2026. 22.39 - 1.0.VK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before="280" w:line="240"/>
      <w:contextualSpacing w:val="1"/>
      <w:ind w:left="705"/>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likumprojekts_25-TA-1441.docx</dc:title>
</cp:coreProperties>
</file>

<file path=docProps/custom.xml><?xml version="1.0" encoding="utf-8"?>
<Properties xmlns="http://schemas.openxmlformats.org/officeDocument/2006/custom-properties" xmlns:vt="http://schemas.openxmlformats.org/officeDocument/2006/docPropsVTypes"/>
</file>