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2023. gadā paveikto saistībā ar Eiropas Parlamenta un Eiropas Padomes 2019. gada 19. marta Regulas (ES) 2019/452, ar ko izveido regulējumu ārvalstu tiešo ieguldījumu Savienībā izvērtēšanai, īstenošanu un ārvalstu tiešo ieguldījumu izvērtēšanas mehānismu Latvijā"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24-TA-720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