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30. jūnijā (prot. Nr. 35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 (Latvijas Vēstnesis, 2024, 229. nr.; 2025, 209.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pirmās un otrās kārtas ietvaros līdz 2029. gada 31. decembrim ir īstenoti vismaz 25 projekti;".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4.3.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Pasākuma ietvaros plānotais kopējais attiecināmais finansējums ir 88 701 370 </w:t>
      </w:r>
      <w:r w:rsidR="00000000" w:rsidRPr="00000000" w:rsidDel="00000000">
        <w:rPr>
          <w:i w:val="1"/>
          <w:rtl w:val="0"/>
        </w:rPr>
        <w:t xml:space="preserve">euro</w:t>
      </w:r>
      <w:r w:rsidR="00000000" w:rsidRPr="00000000" w:rsidDel="00000000">
        <w:rPr>
          <w:rtl w:val="0"/>
        </w:rPr>
        <w:t xml:space="preserve">, ko veido ERAF finansējums – 75 396 164 </w:t>
      </w:r>
      <w:r w:rsidR="00000000" w:rsidRPr="00000000" w:rsidDel="00000000">
        <w:rPr>
          <w:i w:val="1"/>
          <w:rtl w:val="0"/>
        </w:rPr>
        <w:t xml:space="preserve">euro </w:t>
      </w:r>
      <w:r w:rsidR="00000000" w:rsidRPr="00000000" w:rsidDel="00000000">
        <w:rPr>
          <w:rtl w:val="0"/>
        </w:rPr>
        <w:t xml:space="preserve">un nacionālais (pašvaldību un privātais) finansējums – ne mazāk kā 13 305 206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otrās atlases kārtas ietvaros pieejamais finansējums ir šo noteikumu 11. punktā norādītā finansējuma un pirmās atlases kārtas ietvaros piešķirtā finansējuma starpība."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12.3.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ja atlases kārtu ietvaros, ņemot vērā šo noteikumu 17. punktu, kopumā ir iesniegti un atbalsta piešķiršanai kvalificējas projektu iesniegumi par mazāku pieejamā finansējuma kopsummu, tad sadarbības iestāde, saskaņojot ar atbildīgo iestādi, var pārvirzīt neizmantoto finansējumu primāri šo noteikumu 16.1. apakšpunktā noteiktajiem sabiedriskā transporta savienojumu 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apliecinājumu, ka uz projekta iesniedzēju neattiecas neviena no regulas Nr. 651/2014  2. panta 18. punktā minētajām pazīmēm komercdarbības atbalsta gadījumā. Projekta iesniedzējs tiek vērtēts uzņēmuma grupas līmenī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otro atlases kārtu –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Sadarbības iestāde lēmumu par projekta iesnieguma apstiprināšanu, apstiprināšanu ar nosacījumu vai noraidīšanu pieņem divu mēnešu laikā pirmās atlases kārtas ietvaros un triju mēnešu laikā otrās atlases kārtas ietvaros pēc projektu iesniegumu iesniegšanas beigu datuma."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"57.6. informāciju par sniegto komercdarbības atbalstu publicē saskaņā ar regulas Nr. 651/2014 9. pantu, ņemot vērā Ministru kabineta 2016. gada 21. jūnija noteikumus Nr. 386 "Kārtība, kādā publicē informāciju par sniegto komercdarbības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Komercdarbības atbalsts nav sniedzams, ja projekta iesniedzējs atbilst kādai no regulas Nr. 651/2014 2. panta 18. punktā minētajām pazīmēm. Projekta iesniedzējs tiek vērtēts uzņēmuma grupas līmenī (ja attiecināms), ņemot vērā šo noteikumu 66.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26-TA-840</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26-TA-840</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noteikumu_(grozījumu)_projekts_26-TA-840.docx</dc:title>
</cp:coreProperties>
</file>

<file path=docProps/custom.xml><?xml version="1.0" encoding="utf-8"?>
<Properties xmlns="http://schemas.openxmlformats.org/officeDocument/2006/custom-properties" xmlns:vt="http://schemas.openxmlformats.org/officeDocument/2006/docPropsVTypes"/>
</file>