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Ieguldījumu pārvaldes sabiedrību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5.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Sabiedrība, kas ir saņēmusi atļauju sniegt šā panta otrajā un trešajā daļā minētos ieguldījumu pakalpojumus, ir tiesīga sniegt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24. un 25. apakšpunktā, pirms tam saņemot atļauju Regulā Nr. 2023/1114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30.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24-TA-671</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24-TA-671</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likumprojekts_(grozījumi)_24-TA-671.docx</dc:title>
</cp:coreProperties>
</file>

<file path=docProps/custom.xml><?xml version="1.0" encoding="utf-8"?>
<Properties xmlns="http://schemas.openxmlformats.org/officeDocument/2006/custom-properties" xmlns:vt="http://schemas.openxmlformats.org/officeDocument/2006/docPropsVTypes"/>
</file>