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aprīlī (prot. Nr. 20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 (Latvijas Vēstnesis, 2024, 119. nr.; 2025, 164., 221.,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šo noteikumu 6.3. apakšpunktā minētā atskaites punkta sasniegšanai – finansējuma saņēmēja un pakalpojuma sniedzēja parakstītā pieņemšanas un nodošanas akta kopija par izstrādāto prognozēšanas rīku valsts sociālās apdrošināšanas sistēmas ilgtermiņa prognozēm."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Investīcijas īstenošanai pieejamais Atveseļošanas fonda finansējums ir 1 026 795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Investīcijas īstenošanai pieejamais valsts budžeta finansējums pievienotās vērtības nodokļa segšanai ir indikatīvi 161 207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26-TA-324</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26-TA-324</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noteikumu_(grozījumu)_projekts_26-TA-324.docx</dc:title>
</cp:coreProperties>
</file>

<file path=docProps/custom.xml><?xml version="1.0" encoding="utf-8"?>
<Properties xmlns="http://schemas.openxmlformats.org/officeDocument/2006/custom-properties" xmlns:vt="http://schemas.openxmlformats.org/officeDocument/2006/docPropsVTypes"/>
</file>