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"Inovācijas centri"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w:t>
      </w:r>
      <w:r>
        <w:br/>
      </w:r>
      <w:r w:rsidR="00000000" w:rsidRPr="00000000" w:rsidDel="00000000">
        <w:rPr>
          <w:rStyle w:val="paragraph"/>
          <w:i w:val="1"/>
          <w:rtl w:val="0"/>
        </w:rPr>
        <w:t xml:space="preserve">finanšu instrumenta un Norvēģijas finanšu</w:t>
      </w:r>
      <w:r>
        <w:br/>
      </w:r>
      <w:r w:rsidR="00000000" w:rsidRPr="00000000" w:rsidDel="00000000">
        <w:rPr>
          <w:rStyle w:val="paragraph"/>
          <w:i w:val="1"/>
          <w:rtl w:val="0"/>
        </w:rPr>
        <w:t xml:space="preserve">instrumenta 2014.–2021. gada perioda</w:t>
      </w:r>
      <w:r>
        <w:br/>
      </w:r>
      <w:r w:rsidR="00000000" w:rsidRPr="00000000" w:rsidDel="00000000">
        <w:rPr>
          <w:rStyle w:val="paragraph"/>
          <w:i w:val="1"/>
          <w:rtl w:val="0"/>
        </w:rPr>
        <w:t xml:space="preserve">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Ekonomikas zonas finanšu instrumenta un Norvēģijas finanšu instrumenta 2014.–2021. gada perioda programmas "Pētniecība un izglītība" aktivitātes "Inovācijas centri"</w:t>
      </w:r>
      <w:r w:rsidR="00000000" w:rsidRPr="00000000" w:rsidDel="00000000">
        <w:rPr>
          <w:b w:val="1"/>
          <w:rtl w:val="0"/>
        </w:rPr>
        <w:t xml:space="preserve"> </w:t>
      </w:r>
      <w:r w:rsidR="00000000" w:rsidRPr="00000000" w:rsidDel="00000000">
        <w:rPr>
          <w:rtl w:val="0"/>
        </w:rPr>
        <w:t xml:space="preserve">(turpmāk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apsaimniekotāju, aģentūru un tās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iepriekš noteiktā projekta (turpmāk – projekts) iesniedzējam un projekta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divpusējās sadarbības fonda pasākumu ieviešanas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partneri – Norvēģijas Pētniecības padome, Norvēģijas Augstākās izglītības un prasmju direktorāts un Lihtenšteinas Nacionālā aģentūra starptautiskās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inovācijas centrs – struktūra, kura veicina zinātnes, tehnoloģiju, inženierzinātņu un matemātikas (turpmāk – STEM) jomu zināšanu attīstību, prasmju ieguvi un karjeras izvēli STEM jomā, izstrādājot un īstenojot izglītojošas programmas, izglītojošas un interaktīvas aktivitātes, demonstrācijas, izstādes, tostarp arī ceļojošas, pirmsskolas vecuma bērniem, skolēniem, audzēkņiem, studentiem (turpmāk – izglītojamie) un pedagogiem;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izglītojošas programmas – inovācijas centros izstrādātas un īstenotas interešu izglītības programmas un pieaugušo neformālās izglītības programmas, kuras ir saņēmušas licenci pašvaldībā;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koprades telpa – inovācijas centra koplietošanas telpa, kurā izglītojamie un pedagogi kopīgi vai individuāli apgūst, attīsta un paplašina zināšanas, tostarp arī eksperimentē ar jaunām idejām, lai iegūtu prasmes, apmainās ar idejām, zināšanām un prasmēm, kā arī izstrādā un īsteno projektus, izmantojot pārvietojamo aprīkojumu un materiālus;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laboratorija – inovācijas centra koplietošanas laboratorija, kurā, izmantojot materiālus un pārvietojamo aprīkojumu, izglītojamie un pedagogi eksperimentē un izmēģina dažādus ideju risinājumus STEM jomā, iegūstot, attīstot un paplašinot zināšanas un prasmes;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pārvietojamais aprīkojums – šo noteikumu 5. punktā noteiktā inovācijas centra tematiskās specializācijas jomas izglītības pasākumiem nepieciešamās demonstrējumu iekārtas, ierīces vai instalācijas, kuras ir iegādātas vai izgatavotas un izmantotas izglītojošām aktivitātēm inovācijas centra iekštelpās un ārpus tām. Šim nolūkam iekārta var būt samontēta un iebūvēta inovācijas centrā ar nosacījumu, ka iekārta atbilst programmas un projekta mērķim un ir nepieciešama projekta plānoto aktivitāšu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mērķis ir veicināt zināšanu attīstību un izglītojamo karjeras izvēli STEM jomā, divpusējā sadarbībā izveidojot inovācijas centrus, kuros izglītojamiem un pedagogiem tiek izstrādātas un īstenotas izglītojošas programmas, darbnīcas, koprades telpas, koprades laboratorijas un citi interaktīvi pasākumi STEM jomā. Programmas mērķa sasniedzamie rezultāti un iznākumi, to rādītāji, pārbaudes avoti un pārskatu sniegšanas biežums ir norādīts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Programmu īsteno projektu veidā. Projektu iesniedzēji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Cēsu novada 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Daugavpils pilsētas 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Liepājas pilsētas 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Ventspils pilsētas pašvaldība.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 punktā minētie projektu iesniedzēji iesniedz projektus šādās inovācijas centru tematiskās specializācijas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Cēsu novada pašvaldība – kosmosa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Daugavpils pilsētas pašvaldība – uzņēmējdarbības un karjeras attīstībā STEM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Liepājas pilsētas pašvaldība – vides zinātņu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Ventspils pilsētas pašvaldība – dabaszinātņu un informācijas un komunikācijas tehnoloģiju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partneri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donorvalsts projekta partneri: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minētajam projekta iesniedzējam – Annejas (</w:t>
      </w:r>
      <w:r w:rsidR="00000000" w:rsidRPr="00000000" w:rsidDel="00000000">
        <w:rPr>
          <w:i w:val="1"/>
          <w:rtl w:val="0"/>
        </w:rPr>
        <w:t xml:space="preserve">Andøya</w:t>
      </w:r>
      <w:r w:rsidR="00000000" w:rsidRPr="00000000" w:rsidDel="00000000">
        <w:rPr>
          <w:rtl w:val="0"/>
        </w:rPr>
        <w:t xml:space="preserve">) kosmosa centrs NAROM;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minētajam projekta iesniedzējam – Tronheimas zinātnes centrs;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minētajam projekta iesniedzējam – Tronheimas zinātnes centrs un Nērbē (</w:t>
      </w:r>
      <w:r w:rsidR="00000000" w:rsidRPr="00000000" w:rsidDel="00000000">
        <w:rPr>
          <w:i w:val="1"/>
          <w:rtl w:val="0"/>
        </w:rPr>
        <w:t xml:space="preserve">Nærbø</w:t>
      </w:r>
      <w:r w:rsidR="00000000" w:rsidRPr="00000000" w:rsidDel="00000000">
        <w:rPr>
          <w:rtl w:val="0"/>
        </w:rPr>
        <w:t xml:space="preserve">) ceļojošais zinātnes centrs "Zinātnes cirks";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4.4. apakšpunktā minētajam projekta iesniedzējam – Bergenas zinātnes centrs "VilVite";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Latvijas partneri: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minētajam projekta iesniedzējam – Rīgas Tehniskā universitāte;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minētajam projekta iesniedzējam – Daugavpils Universitāte;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minētajam projekta iesniedzējam – Liepājas Universitāte;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apakšpunktā minētajam projekta iesniedzējam – Ventspils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Programmas apsaimniekotājs ir Izglītības un zinātnes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ietvaros aģentūras funkcijas pilda Valsts izglītības attīstības aģentūra (turpmāk –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projektu novērtēšanas nolikumu (turpmāk – novērtēšanas nolikums), kuru pirms apstiprināšanas saskaņo ar programmas apsaimniekotāju;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projektu vērtēšanas komisiju (turpmāk – vērtēšanas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projektu un sniedz pozitīvu vai negatīvu atzinumu vai atzinumu ar nosacījumiem, kontrolē nosacījumu izpildi un paziņo par to izpildi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 projekta līgumu ar līdzfinansējuma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projekta īstenošanas uzraudzību un kontroli, tai skaitā veic pārbaudes šī projekta īstenošanas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veikto ieguldījumu amortizācijas periodā veic uzraudzību reizi gadā, kā arī veic projekta rezultātu saglabāšanas un ilgtspējas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izdevumu attiecināmības perioda sākuma datums ir diena, kad vadošā iestāde paziņo Norvēģijas Ārlietu ministrijai par pozitīvu aģentūras atzinumu. Par projekta attiecināmības perioda sākumu aģentūra divu darbdienu laikā pēc informācijas saņemšanas no vadošās iestādes informē projekta iesniedzēju ar elektroniskā pasta starpniecību. Projekta izdevumu attiecināmības perioda gala datumu nosaka projekta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Kopējais programmas pieejamais finansējums ir 7 200 278 </w:t>
      </w:r>
      <w:r w:rsidR="00000000" w:rsidRPr="00000000" w:rsidDel="00000000">
        <w:rPr>
          <w:i w:val="1"/>
          <w:rtl w:val="0"/>
        </w:rPr>
        <w:t xml:space="preserve">euro </w:t>
      </w:r>
      <w:r w:rsidR="00000000" w:rsidRPr="00000000" w:rsidDel="00000000">
        <w:rPr>
          <w:rtl w:val="0"/>
        </w:rPr>
        <w:t xml:space="preserve"> (turpmāk – programmas finansējums), no kuriem valsts budžeta līdzfinansējums ir 15 procenti jeb 1 080 042 </w:t>
      </w:r>
      <w:r w:rsidR="00000000" w:rsidRPr="00000000" w:rsidDel="00000000">
        <w:rPr>
          <w:i w:val="1"/>
          <w:rtl w:val="0"/>
        </w:rPr>
        <w:t xml:space="preserve">euro</w:t>
      </w:r>
      <w:r w:rsidR="00000000" w:rsidRPr="00000000" w:rsidDel="00000000">
        <w:rPr>
          <w:rtl w:val="0"/>
        </w:rPr>
        <w:t xml:space="preserve"> un Eiropas Ekonomikas zonas finanšu instrumenta un Norvēģijas finanšu instrumenta līdzfinansējums ir 85 procenti jeb 6 120 236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finansējuma sadalījums ir šāds: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administratīvajiem izdevumiem – 618 256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 no kuriem</w:t>
      </w:r>
      <w:r w:rsidR="00000000" w:rsidRPr="00000000" w:rsidDel="00000000">
        <w:rPr>
          <w:i w:val="1"/>
          <w:rtl w:val="0"/>
        </w:rPr>
        <w:t xml:space="preserve"> </w:t>
      </w:r>
      <w:r w:rsidR="00000000" w:rsidRPr="00000000" w:rsidDel="00000000">
        <w:rPr>
          <w:rtl w:val="0"/>
        </w:rPr>
        <w:t xml:space="preserve">valsts budžeta līdzfinansējums ir 15 procenti jeb 92 739 </w:t>
      </w:r>
      <w:r w:rsidR="00000000" w:rsidRPr="00000000" w:rsidDel="00000000">
        <w:rPr>
          <w:i w:val="1"/>
          <w:rtl w:val="0"/>
        </w:rPr>
        <w:t xml:space="preserve"> euro</w:t>
      </w:r>
      <w:r w:rsidR="00000000" w:rsidRPr="00000000" w:rsidDel="00000000">
        <w:rPr>
          <w:rtl w:val="0"/>
        </w:rPr>
        <w:t xml:space="preserve"> un Norvēģijas finanšu instrumenta līdzfinansējums ir 85 procenti jeb 525 517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Cēsu novada pašvaldības projektam – 1 932 172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Daugavpils pilsētas pašvaldības projektam – 1 810 444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Liepājas pilsētas pašvaldības projektam – 887 444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Ventspils pilsētas pašvaldības projektam – 1 810 508 </w:t>
      </w:r>
      <w:r w:rsidR="00000000" w:rsidRPr="00000000" w:rsidDel="00000000">
        <w:rPr>
          <w:i w:val="1"/>
          <w:rtl w:val="0"/>
        </w:rPr>
        <w:t xml:space="preserve">euro.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Līdzfinansējuma saņēmēji rezultātu un iznākumu sasniegšanai var pieteikties papildu līdzfinansējumam. Kopējā programmas papildu līdzfinansējuma summa ir 141 454 </w:t>
      </w:r>
      <w:r w:rsidR="00000000" w:rsidRPr="00000000" w:rsidDel="00000000">
        <w:rPr>
          <w:i w:val="1"/>
          <w:rtl w:val="0"/>
        </w:rPr>
        <w:t xml:space="preserve">euro</w:t>
      </w:r>
      <w:r w:rsidR="00000000" w:rsidRPr="00000000" w:rsidDel="00000000">
        <w:rPr>
          <w:rtl w:val="0"/>
        </w:rPr>
        <w:t xml:space="preserve">, no kuriem valsts budžeta līdzfinansējums ir 15 procenti jeb 21 218 </w:t>
      </w:r>
      <w:r w:rsidR="00000000" w:rsidRPr="00000000" w:rsidDel="00000000">
        <w:rPr>
          <w:i w:val="1"/>
          <w:rtl w:val="0"/>
        </w:rPr>
        <w:t xml:space="preserve">euro </w:t>
      </w:r>
      <w:r w:rsidR="00000000" w:rsidRPr="00000000" w:rsidDel="00000000">
        <w:rPr>
          <w:rtl w:val="0"/>
        </w:rPr>
        <w:t xml:space="preserve">un Eiropas Ekonomikas zonas finanšu instrumenta līdzfinansējums un Norvēģijas finanšu instrumenta līdzfinansējums ir 85 procenti jeb 120 236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minētais līdzfinansējuma saņēmējs nodrošina projekta līdzfinansējumu 10 procentu apmērā no projekta kopējām attiecināmajām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Aģentūra izmaksā avansu līdzfinansējuma saņēmējam viena mēneša laikā no projekta līguma noslēgšanas dienas, kas ir ne vairāk kā 40 procenti no šo noteikumu 12.2., 12.3., 12.4. vai 12.5. apakšpunktā noteiktā programmas finansējuma sadalījuma projektam.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komitejas priekšsēdētājs ir programmas apsaimniekotāja pārstāvis. Sadarbības komitejas sastāvā kā locekļus ar balsstiesībām iekļauj programmas apsaimniekotāja un programmas partneru pārstāvjus. Programmas apsaimniekotājs uzaicina piedalīties sadarbības komitejas sēdēs novērotāja statusā Norvēģijas Ārlietu ministrijas, vadošās iestādes un Finanšu instrumenta biroja pārstāvjus. Sadarbības komitejas darbību nosaka sadarbības komitejas nolikums, kuru sagatavo programmas apsaimniekotājs, saskaņo programmas partneri un apstiprina izglītības un zinātnes ministrs.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projekta darbības un programmas un projekta izmaksu attiecināmības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ietvaros ir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izglītojošo programmu izstrāde un īstenošana izglītojamajiem un pedagogiem zināšanu apguvei un attīstībai STEM jomā, veicinot karjeras izvēli STEM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izglītošana STEM jomā un mācīšanas metodikā, lai pilnveidotu pedagogu zināšanas, prasmes un kompetenci;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praktisko darbnīcu, ārpuscentra pasākumu, zinātnisko nometņu un citu pasākumu organizēšana STEM jomā, nodrošinot nepieciešamo pārvietojamo aprīkojumu un materiālus;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koprades telpu un koprades laboratoriju izveide un brīvas pieejas nodrošināšana izglītojamiem un pedagogiem;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uzņēmējspēju attīstības veicināšanas pasākumu organizēšana izglītojamiem STEM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semināru organizēšana izglītojamiem un pedagogiem, kā arī kopīgu pasākumu organizēšana izglītojamiem, uzaicinot saimnieciskās darbības veicējus, lai tie dalītos ar zināšanām un pieredzi;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STEM jomu popularizējošo interaktīvo tematisko, tostarp ceļojošo, izstāžu izveide sadarbībā ar projekta partneriem, profesionālās izglītības iestādēm, zinātniskajām institūcijām vai tautsaimniecības nozaru pārstāvjiem;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inovācijas centra ietekmes uz sabiedrību novērtēšana un efektīvākas komunikācijas faktoru analīze STEM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transporta izdevumu segšana, lai nodrošinātu Latvijas izglītojamo un pedagogu piekļuvi inovācijas centra izglītojošajām interaktīvajām aktivitātēm, demonstrācijām, izstādēm un citiem izglītojošiem pasākumiem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darbības, kas veicina izglītojamo un pedagogu zināšanu attīstību un pozitīvu attieksmi STEM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pasākumi, kas veicina zināšanu attīstību STEM jomā un Eiropas Ekonomikas zonas finanšu instrumenta un Norvēģijas finanšu instrumenta ieguldījumu atpazīstamību.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ietvaros netiek atbalstītas projekta iesniedzēja vai projekta partnera aktivitātes, kurām sniegtais atbalsts ir kvalificējams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projekts tā īstenošanas laikā un tajā veikto ieguldījumu amortizācijas periodā neatbilst šo noteikumu 16.</w:t>
      </w:r>
      <w:r w:rsidR="00000000" w:rsidRPr="00000000" w:rsidDel="00000000">
        <w:rPr>
          <w:vertAlign w:val="superscript"/>
          <w:rtl w:val="0"/>
        </w:rPr>
        <w:t xml:space="preserve">1</w:t>
      </w:r>
      <w:r w:rsidR="00000000" w:rsidRPr="00000000" w:rsidDel="00000000">
        <w:rPr>
          <w:rtl w:val="0"/>
        </w:rPr>
        <w:t xml:space="preserve"> punktā minētajiem nosacījumiem, līdzfinansējuma saņēmējam ir pienākums aģentūrai atmaksāt visu projekta ietvaros saņemto publisko finansējumu kopā ar procentiem, kuru likmi publicē Eiropas Komisija saskaņā ar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(turpmāk – Komisijas regula Nr. 794/2004), 10. pantu, tiem pieskaitot 100 bāzes punktus, no dienas, kad publiskais finansējums tika izmaksāts projekta iesniedzējam, līdz tā atgūšanas dienai, ievērojot Komisijas regulas Nr. 794/2004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Programmas ietvaros ir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 un aģentūras administratīvās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sagatavošanas un īstenošanas administrēšanu, tai skaitā personāla izmaksas divpusējās sadarbības stiprināšanai starp Latvijas un Norvēģijas institūcijām;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komunālajiem pakalpojumiem, kancelejas preču, aprīkojuma un programmatūras iegādi, un citas izmaksas, kuras netieši saistītas ar programmas sagatavošanas un īstenošanas administrēšanu un kuras aprēķina kā vienotu likmi 10 procentu apmērā no tiešajām attiecināmajām personāla atlīdzības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tiešās attiecināmās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administratīvā un īstenošanas personāla darba izmaksas – atalgojums, kā arī citi darba ņēmēja labā veicamie obligātie maksājumi, tai skaitā darba devēja valsts sociālās apdrošināšanas iemaksas;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un darba braucienu izmaksas saskaņā ar normatīvajos aktos noteikto kārtību, kādā atlīdzināmi ar komandējumiem saistītie izdevumi;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ekspertīžu un pakalpojumu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pasākumu organizēšanas izmaksas, tai skaitā materiālu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pārvietojamā aprīkojuma izmaksas, kas atbilst to iegādes cenai un nepārsniedz 60 procentus no projekta kopējām attiecināmajām izmaksām, tai skaitā laboratoriju inventāra, datortehnikas, programmatūras, printeru iegādes un uzturēšanas izmaksas ar nosacījumu, ka tie atrodas koprades telpās vai koprades laboratorijās un ir nepieciešami izglītojošo programmu īstenošanai vai citu izglītības pasākumu nodrošināšanai;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2.6. apakšpunktā minētā pārvietojamā aprīkojuma nolietojuma daļa, kas atbilst projekta ilgumam un faktiskā lietojuma apjomam;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netiešās attiecināmās izmaksas, tai skaitā izmaksas, kas saistītas ar telpu nomu, komunālajiem pakalpojumiem, kancelejas preču, aprīkojuma un programmatūras iegādi, un citas izmaksas, kuras netieši saistītas ar projekta īstenošanas administrēšanu un kuras aprēķina kā vienotu likmi, nepārsniedzot 15 procentus no šo noteikumu 17.2.1. apakšpunktā minētajām izmaksām. Projekta netiešo attiecināmo izmaksu vienotās likmes apmēru nosaka projekta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Programmas ietvaros nav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infrastruktūrā un pamatlīdzekļu iegādē, izņemot šo noteikumu 17.2.5. un 17.2.6. apakšpunktā minētās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zaudējumi, kas radušies valūtas kursa svārstību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finanšu transakcijām;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nepieciešama projekta mērķu sasniegšanai un ir ar to saistīta;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visi maksājumi, tai skaitā avansa maksājumi, un izdevumi par faktiski veiktajām piegādēm, izpildītajiem darbiem un pakalpojumiem, kas veikti ārpus projekta līgumā noteiktā projekta izdevumu attiecināmības perioda;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procenti, aizdevumu apkalpošanas maksa un nokavējuma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atgūstamais pievienotās vērtības nodoklis;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nav minētas šo noteikumu 17.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īstenošanas ilgums ir trīs gadi no projekta līguma noslēgšanas dienas ar iespēju to pagarināt, bet ne ilgāk kā līdz 2024. gada 30. aprīlim.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Projektā veikto ieguldījumu amortizācijas periods atbilst pārvietojamā aprīkojuma lietderīgās lietošanas laikam.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Aģentūrai ir tiesības vienpusēji uzteikt projekta līgumu, ja tiek konstatēts,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projekta izdevumi ir atzīti par neatbilstoši veiktiem 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sasniegts projekta mērķis atbilstoši projekta līgumam;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laikā projekta līgumā noteiktajā kārtībā un termiņā nav izpildīts aģentūras atkārtoti izteiktajā pieprasījumā norādītais par projekta īstenošanu atbilstoši noslēgtajam līgumam un tajā minēto normatīvo aktu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projektā ir attiecināmās izmaksas, kas atbilst pilnai iekārtas pirkšanas cenai, tad līdzfinansējuma saņēmējs: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patur attiecīgo iekārtu savā īpašumā vismaz piecus gadus pēc projekta noslēguma pārskata apstiprināšanas un šajā laikposmā turpina to izmantot, veicinot projekta vispārējo mērķu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apdrošina attiecīgo iekārtu pret zaudējumiem (piemēram, ugunsgrēku, zādzību, citiem parasti apdrošināmiem riskiem) gan projekta īstenošanas laikā, gan vismaz piecus gadus pēc projekta noslēguma pārskata apstiprināšanas;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atbilstošus resursus iekārtas tehniskajai apkopei vismaz piecus gadus pēc projekta noslēguma pārskata apstiprināšanas. Resursiem jābūt pietiekamiem, lai nodrošinātu iekārtu darbību pilnā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Līdzfinansējuma saņēmējs iesniedz aģentūrai projekta starpposma pārskatu projekta līgumā noteiktajā kārtībā un termiņā, norādot detalizētus projekta izdevumus, tai skaitā izmaksu sadalījumu pa periodiem.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Līdzfinansējuma saņēmējs var saņemt starpmaksājumu, ja projekta starpposma pārskatā ir atskaite par 70 procentu avansa izlietošanu.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Līdzfinansējuma saņēmējs nodrošina šo noteikumu </w:t>
      </w:r>
      <w:r w:rsidR="00000000" w:rsidRPr="00000000" w:rsidDel="00000000">
        <w:rPr>
          <w:rtl w:val="0"/>
        </w:rPr>
        <w:t xml:space="preserve">2.6.</w:t>
      </w:r>
      <w:r w:rsidR="00000000" w:rsidRPr="00000000" w:rsidDel="00000000">
        <w:rPr>
          <w:rtl w:val="0"/>
        </w:rPr>
        <w:t xml:space="preserve"> apakšpunktā minētā pārvietojamā aprīkojuma drošu uzstādīšanu un lietošanu atbilstoši ražotāja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Līdzfinansējuma saņēmēji un to partneri preču un pakalpojumu iegādi projekta vajadzībām veic atklātā, pārredzamā un nediskriminējošā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Līdzfinansējuma saņēmējs glabā visus ar projekta īstenošanu saistītos dokumentu oriģinālus vai to atvasinājumus un nodrošina, ka tie ir pieejami pārbaudei visu projektā veikto ieguldījumu amortizācijas periodu. Ja projektā veikto ieguldījumu amortizācijas periods ir īsāks par pieciem gadiem pēc noslēguma pārskata apstiprināšanas, tad visus ar projekta īstenošanu saistītos dokumentu oriģinālus vai to atvasinājumus glabā un nodrošina, ka tie ir pieejami pārbaudei vismaz piecus gadus pēc projekta noslēguma pārskata apstiprināšanas.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Divpusējās sadarbības fonda ieviešanas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Saskaņā ar saprašanās memorandu programmā paredzēto divpusējās sadarbības iniciatīvu īstenošanai ir piešķirti 50 000 </w:t>
      </w:r>
      <w:r w:rsidR="00000000" w:rsidRPr="00000000" w:rsidDel="00000000">
        <w:rPr>
          <w:i w:val="1"/>
          <w:rtl w:val="0"/>
        </w:rPr>
        <w:t xml:space="preserve">euro</w:t>
      </w:r>
      <w:r w:rsidR="00000000" w:rsidRPr="00000000" w:rsidDel="00000000">
        <w:rPr>
          <w:rtl w:val="0"/>
        </w:rPr>
        <w:t xml:space="preserve"> (turpmāk – divpusējās sadarbības fonda finansējums), kas ir Norvēģijas finanšu instrumenta finansējums 100 procentu apmērā. Divpusējās sadarbības iniciatīvu īstenošanai ir obligāta donorvalsts partnera vai projektu partnera vai donorvalsts organizācijas iesaiste.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Divpusējās sadarbības fonda finansējuma ietvaros ir atbalstāmi šādi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tā potenciālā Latvijas projekta partnera pārstāvju mācību, pieredzes apmaiņas un sadarbības plānošanas vizītes Norvēģijā;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potenciālā Norvēģijas projekta partnera vizītes Latvijā, lai apspriestu un izstrādātu kopējas projekta aktivitātes, sniegtu atbalstu projekta iesniedzējam projekta sagatavošanā;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aģentūras organizēti pasākumi līdzfinansējuma saņēmēju un to projektu partneru pieredzes un projektu rezultātu izplatīšanai.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Divpusējās sadarbības fonda finansējuma ietvaros īstenojamo pasākumu plānu izstrādā programmas apsaimniekotājs un apstiprina sadarbības komiteja.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27.2.</w:t>
      </w:r>
      <w:r w:rsidR="00000000" w:rsidRPr="00000000" w:rsidDel="00000000">
        <w:rPr>
          <w:rtl w:val="0"/>
        </w:rPr>
        <w:t xml:space="preserve"> apakšpunktā minēto pasākumu īstenošanai aģentūra slēdz līgumu ar projekta iesniedzēju vai potenciālo Norvēģijas projekta partneri un veic norēķinus atbilstoši šajā līgumā noteiktajai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Programmas apsaimniekotājam ir tiesības iesniegt iniciatīvu divpusējās sadarbības fonda komitejai, lai saņemtu papildu finansējumu no divpusējās sadarbības fonda, pirms tam priekšlikumu apstiprinot sadarbības komitejā.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23-TA-1169</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23-TA-1169</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noteikumu_konsolidētā_versija_23-TA-1169.docx</dc:title>
</cp:coreProperties>
</file>

<file path=docProps/custom.xml><?xml version="1.0" encoding="utf-8"?>
<Properties xmlns="http://schemas.openxmlformats.org/officeDocument/2006/custom-properties" xmlns:vt="http://schemas.openxmlformats.org/officeDocument/2006/docPropsVTypes"/>
</file>