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pirmo daļu ar 71. un 72.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w:t>
      </w:r>
      <w:r w:rsidR="00000000" w:rsidRPr="00000000" w:rsidDel="00000000">
        <w:rPr>
          <w:b w:val="1"/>
          <w:rtl w:val="0"/>
        </w:rPr>
        <w:t xml:space="preserve">bankomāts</w:t>
      </w:r>
      <w:r w:rsidR="00000000" w:rsidRPr="00000000" w:rsidDel="00000000">
        <w:rPr>
          <w:rtl w:val="0"/>
        </w:rPr>
        <w:t xml:space="preserve"> – elektromehāniska ierīce, kas klientam ļauj izņemt </w:t>
      </w:r>
      <w:r w:rsidR="00000000" w:rsidRPr="00000000" w:rsidDel="00000000">
        <w:rPr>
          <w:i w:val="1"/>
          <w:rtl w:val="0"/>
        </w:rPr>
        <w:t xml:space="preserve">euro</w:t>
      </w:r>
      <w:r w:rsidR="00000000" w:rsidRPr="00000000" w:rsidDel="00000000">
        <w:rPr>
          <w:rtl w:val="0"/>
        </w:rPr>
        <w:t xml:space="preserve"> banknotes no viņa maksājumu konta, izmantojot maksājumu kartei piesaistītus maksājumu instrumentus vai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w:t>
      </w:r>
      <w:r w:rsidR="00000000" w:rsidRPr="00000000" w:rsidDel="00000000">
        <w:rPr>
          <w:b w:val="1"/>
          <w:rtl w:val="0"/>
        </w:rPr>
        <w:t xml:space="preserve">kredītiestādes nodrošināts bankomāt</w:t>
      </w:r>
      <w:r w:rsidR="00000000" w:rsidRPr="00000000" w:rsidDel="00000000">
        <w:rPr>
          <w:rtl w:val="0"/>
        </w:rPr>
        <w:t xml:space="preserve">s – bankomāts, kurš atrodas kredītiestādes īpašumā, valdījumā vai turējumā vai kuru attiecīgās kredītiestādes uzdevumā ir uzstādījis ārpakalpojuma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likuma V nodaļu ar 74.</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"74.</w:t>
      </w:r>
      <w:r w:rsidR="00000000" w:rsidRPr="00000000" w:rsidDel="00000000">
        <w:rPr>
          <w:b w:val="1"/>
          <w:vertAlign w:val="superscript"/>
          <w:rtl w:val="0"/>
        </w:rPr>
        <w:t xml:space="preserve">4</w:t>
      </w:r>
      <w:r w:rsidR="00000000" w:rsidRPr="00000000" w:rsidDel="00000000">
        <w:rPr>
          <w:b w:val="1"/>
          <w:rtl w:val="0"/>
        </w:rPr>
        <w:t xml:space="preserve"> pants. </w:t>
      </w:r>
      <w:r w:rsidR="00000000" w:rsidRPr="00000000" w:rsidDel="00000000">
        <w:rPr>
          <w:rtl w:val="0"/>
        </w:rPr>
        <w:t xml:space="preserve">(1) Par kredītiestādi, kurai ir būtiska nozīme skaidrās naudas pieejamības nodrošināšanā Latvijā, ir atzīstama kredītiestāde, kura ir reģistrēta Latvijā vai ir ārvalstu kredītiestādes filiāle Latvijā vai citā dalībvalstī reģistrētas kredītiestādes filiāle Latvijā, un vienlaikus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Latvijā sniedz ar maksājumu kontu saistītus pakalpojumus Eiropas Savienības rezidentiem –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kredītiestādē atvērto klientu maksājumu kontu skaits iepriekšējā gada 31. decembrī veido vismaz piecus procentus no kopējā maksājumu kontu skaita Latvijā reģistrētajās kredītiestādēs, ārvalstu kredītiestāžu filiālēs Latvijā un citās dalībvalstīs reģistrēto kredītiestāžu filiālēs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kredītiestādē iekšzemes mājsaimniecību noguldījumi iepriekšējā gada 31. decembrī veido vismaz piecus procentus no kopējiem iekšzemes mājsaimniecību noguldījumiem Latvijā reģistrētajās kredītiestādēs, ārvalstu kredītiestāžu filiālēs Latvijā un citās dalībvalstīs reģistrēto kredītiestāžu filiālēs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kredītiestāde nodrošina, ka tās klientam sniegtie maksājumu pakalpojumi, kuru rezultātā tam ir iespējams izņemt skaidro naudu no maksājumu konta kredītiestādē (turpmāk – skaidrās naudas izmaksas pakalpojums), atbilst šādām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Bankas noteiktā attālumā no jebkuras vietas Latvijas teritorijā klientam ir pieejams vismaz viens kredītiestādes vai jebkuras citas šā panta pirmajā daļā minētās kredītiestādes nodrošināts bankomāts, kurā klients var saņemt skaidrās naudas izmaksas pakalpojumu atbilstoši šīs panta daļas 4.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kredītiestādes nodrošināto bankomātu skaits Latvijā nav mazāks par Latvijas Bankas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kredītiestādes nodrošinātais bankomāts ir klientam pieejams un darbojas Latvijas Bankas noteiktajā bankomātu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kredītiestāde bez maksas nodrošina tās klientam – fiziskai personai, kurai kredītiestāde izsniegusi maksājumu karti,  skaidrās naudas izmaksas pakalpojumu apmērā, kas nav mazāks par Latvijas Bankas noteikto mēneša limitu un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attiecīgās kredītiestādes nodrošinātajos bankomātos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kredītiestāde šīs panta daļas 1. punktā noteiktās prasības izpildē balstās arī uz citas šā panta pirmajā daļā minētās kredītiestādes nodrošinātajiem bankomātiem – arī attiecīgās citas kredītiestādes nodrošinātajos bankomātos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šā panta otrajā daļā minēto prasību skaitliskās vērtības, pieļaujamās atkāpes to izpildē, piemērošanas nosacījumus un kārtību, kādā Latvijas Banka pārbauda minēto prasību ievērošanu, kā arī prasības, termiņu un kārtību, kādā šā panta pirmajā daļā minētā kredītiestāde sagatavo un iesniedz Latvijas Bankai informāciju saistībā ar šā panta otrajā daļā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ne retāk kā reizi divos gados pārskata šā panta otrajā daļā minēto prasību skaitliskās vērtības, pieļaujamās atkāpes to izpildē un piemērošanas nosacījumus, ņemot vērā skaidrās naudas izmaksas pakalpojuma pieprasījuma izmaiņas, tirgū esošos skaidrās naudas izmaksas pakalpojuma nodrošināšanas veidus un alternatīvas, kā arī Latvijas Bankas novērtējumu attiecībā uz skaidrās naudas izmaksas pakalpojuma infrastruktūras izvietojuma un kapacitātes pietiekamību skaidrās naudas izmaksas pakalpojuma nodrošināšanai strauja pieprasījuma pieauguma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198. pantu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šā likuma 74.</w:t>
      </w:r>
      <w:r w:rsidR="00000000" w:rsidRPr="00000000" w:rsidDel="00000000">
        <w:rPr>
          <w:vertAlign w:val="superscript"/>
          <w:rtl w:val="0"/>
        </w:rPr>
        <w:t xml:space="preserve">4</w:t>
      </w:r>
      <w:r w:rsidR="00000000" w:rsidRPr="00000000" w:rsidDel="00000000">
        <w:rPr>
          <w:rtl w:val="0"/>
        </w:rPr>
        <w:t xml:space="preserve"> panta pirmajā daļā minētā kredītiestāde nenodrošina skaidrās naudas izmaksas pakalpojuma atbilstību šā likuma 74.</w:t>
      </w:r>
      <w:r w:rsidR="00000000" w:rsidRPr="00000000" w:rsidDel="00000000">
        <w:rPr>
          <w:vertAlign w:val="superscript"/>
          <w:rtl w:val="0"/>
        </w:rPr>
        <w:t xml:space="preserve">4</w:t>
      </w:r>
      <w:r w:rsidR="00000000" w:rsidRPr="00000000" w:rsidDel="00000000">
        <w:rPr>
          <w:rtl w:val="0"/>
        </w:rPr>
        <w:t xml:space="preserve"> panta otrajā daļā noteiktajām prasībām, Latvijas Banka ir tiesīga piemērot kredītiestādei sankciju – brīdinājumu vai soda naudu no 1 400</w:t>
      </w:r>
      <w:r w:rsidR="00000000" w:rsidRPr="00000000" w:rsidDel="00000000">
        <w:rPr>
          <w:i w:val="1"/>
          <w:rtl w:val="0"/>
        </w:rPr>
        <w:t xml:space="preserve"> euro</w:t>
      </w:r>
      <w:r w:rsidR="00000000" w:rsidRPr="00000000" w:rsidDel="00000000">
        <w:rPr>
          <w:rtl w:val="0"/>
        </w:rPr>
        <w:t xml:space="preserve"> līdz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118. un 119.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Šā likuma 74.</w:t>
      </w:r>
      <w:r w:rsidR="00000000" w:rsidRPr="00000000" w:rsidDel="00000000">
        <w:rPr>
          <w:vertAlign w:val="superscript"/>
          <w:rtl w:val="0"/>
        </w:rPr>
        <w:t xml:space="preserve">4 </w:t>
      </w:r>
      <w:r w:rsidR="00000000" w:rsidRPr="00000000" w:rsidDel="00000000">
        <w:rPr>
          <w:rtl w:val="0"/>
        </w:rPr>
        <w:t xml:space="preserve">pants un 198. panta trīspadsmitā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Latvijas Banka līdz 2024. gada 1. septembrim izdod šā likuma 74.</w:t>
      </w:r>
      <w:r w:rsidR="00000000" w:rsidRPr="00000000" w:rsidDel="00000000">
        <w:rPr>
          <w:vertAlign w:val="superscript"/>
          <w:rtl w:val="0"/>
        </w:rPr>
        <w:t xml:space="preserve">4</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23-TA-3006</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23-TA-3006</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likumprojekts_(grozījumi)_23-TA-3006.docx</dc:title>
</cp:coreProperties>
</file>

<file path=docProps/custom.xml><?xml version="1.0" encoding="utf-8"?>
<Properties xmlns="http://schemas.openxmlformats.org/officeDocument/2006/custom-properties" xmlns:vt="http://schemas.openxmlformats.org/officeDocument/2006/docPropsVTypes"/>
</file>