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Piemērojamais elektroniskā rēķina standarts un tā pamatelementu izmantošanas specifikācija un aprites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Publisko iepirkumu likuma</w:t>
      </w:r>
      <w:r w:rsidR="00000000" w:rsidRPr="00000000" w:rsidDel="00000000">
        <w:rPr>
          <w:rStyle w:val="paragraph"/>
          <w:i w:val="1"/>
          <w:rtl w:val="0"/>
        </w:rPr>
        <w:t xml:space="preserve"> 83. pantu,</w:t>
      </w:r>
      <w:r>
        <w:br/>
      </w:r>
      <w:r w:rsidR="00000000" w:rsidRPr="00000000" w:rsidDel="00000000">
        <w:rPr>
          <w:rStyle w:val="paragraph"/>
          <w:i w:val="1"/>
          <w:rtl w:val="0"/>
        </w:rPr>
        <w:t xml:space="preserve">Sabiedrisko pakalpojumu sniedzēju iepirkumu likuma</w:t>
      </w:r>
      <w:r>
        <w:br/>
      </w:r>
      <w:r w:rsidR="00000000" w:rsidRPr="00000000" w:rsidDel="00000000">
        <w:rPr>
          <w:rStyle w:val="paragraph"/>
          <w:i w:val="1"/>
          <w:rtl w:val="0"/>
        </w:rPr>
        <w:t xml:space="preserve">89. pantu,</w:t>
      </w:r>
      <w:r w:rsidR="00000000" w:rsidRPr="00000000" w:rsidDel="00000000">
        <w:rPr>
          <w:rStyle w:val="paragraph"/>
          <w:i w:val="1"/>
          <w:rtl w:val="0"/>
        </w:rPr>
        <w:t xml:space="preserve"> Aizsardzības un drošības jomas iepirkumu likuma</w:t>
      </w:r>
      <w:r>
        <w:br/>
      </w:r>
      <w:r w:rsidR="00000000" w:rsidRPr="00000000" w:rsidDel="00000000">
        <w:rPr>
          <w:rStyle w:val="paragraph"/>
          <w:i w:val="1"/>
          <w:rtl w:val="0"/>
        </w:rPr>
        <w:t xml:space="preserve">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 un</w:t>
      </w:r>
      <w:r w:rsidR="00000000" w:rsidRPr="00000000" w:rsidDel="00000000">
        <w:rPr>
          <w:rStyle w:val="paragraph"/>
          <w:i w:val="1"/>
          <w:rtl w:val="0"/>
        </w:rPr>
        <w:t xml:space="preserve"> Publiskās un privātās</w:t>
      </w:r>
      <w:r>
        <w:br/>
      </w:r>
      <w:r w:rsidR="00000000" w:rsidRPr="00000000" w:rsidDel="00000000">
        <w:rPr>
          <w:rStyle w:val="paragraph"/>
          <w:i w:val="1"/>
          <w:rtl w:val="0"/>
        </w:rPr>
        <w:t xml:space="preserve">partnerības likuma</w:t>
      </w:r>
      <w:r w:rsidR="00000000" w:rsidRPr="00000000" w:rsidDel="00000000">
        <w:rPr>
          <w:rStyle w:val="paragraph"/>
          <w:i w:val="1"/>
          <w:rtl w:val="0"/>
        </w:rPr>
        <w:t xml:space="preserve"> 122.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piemērojamo elektroniskā rēķina standartu, tā pamatelementu izmantošanas specifikāciju un aprites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Piemērojamais elektroniskā rēķina standarts šo noteikumu izpratnē ir dokumentu kopums, uz kuru atsauce publicēta Eiropas Savienības Oficiālajā Vēstnesī un ko veido Latvijas nacionālā standarta statusā adaptētais Eiropas Savienības standarts LVS EN 16931-1:2017 "Elektroniskie rēķini. 1. daļa. Elektronisko rēķinu pamatelementu semantisko datu modelis" un ar to saistītā tehniskā specifikācija LVS CEN/TS 16931-2:2017 "Elektroniskie rēķini. 2. daļa: Standartam EN 16931-1 atbilstošo sintakšu saraksts".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Pasūtītājs, sabiedrisko pakalpojumu sniedzējs, kā arī publiskais partneris vai tā pārstāvis pieņem elektroniskā veidā sagatavoto un izsniegto rēķinu, kas atbilst piemērojamajam elektroniskā rēķina standartam.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piegādātājs reģistrēts vai pastāvīgi dzīvo Latvijā, pasūtītājs, sabiedrisko pakalpojumu sniedzējs, kā arī publiskais partneris vai tā pārstāvis pieņem piegādātāja elektroniskā veidā sagatavoto un izsniegto elektronisko rēķinu, ja papildus šo noteikumu </w:t>
      </w:r>
      <w:r w:rsidR="00000000" w:rsidRPr="00000000" w:rsidDel="00000000">
        <w:rPr>
          <w:rtl w:val="0"/>
        </w:rPr>
        <w:t xml:space="preserve">3.</w:t>
      </w:r>
      <w:r w:rsidR="00000000" w:rsidRPr="00000000" w:rsidDel="00000000">
        <w:rPr>
          <w:rtl w:val="0"/>
        </w:rPr>
        <w:t xml:space="preserve"> punktā minētajam tas atbilst </w:t>
      </w:r>
      <w:r w:rsidR="00000000" w:rsidRPr="00000000" w:rsidDel="00000000">
        <w:rPr>
          <w:i w:val="1"/>
          <w:rtl w:val="0"/>
        </w:rPr>
        <w:t xml:space="preserve">Pan-European Public Procurement On-Line (PEPPOL) BIS Billing 3.0</w:t>
      </w:r>
      <w:r w:rsidR="00000000" w:rsidRPr="00000000" w:rsidDel="00000000">
        <w:rPr>
          <w:rtl w:val="0"/>
        </w:rPr>
        <w:t xml:space="preserve"> elektronisko rēķinu pamatelementu izmantošanas specifikācijai (</w:t>
      </w:r>
      <w:r w:rsidR="00000000" w:rsidRPr="00000000" w:rsidDel="00000000">
        <w:rPr>
          <w:i w:val="1"/>
          <w:rtl w:val="0"/>
        </w:rPr>
        <w:t xml:space="preserve">Core Invoice Usage Specification (CIUS)</w:t>
      </w:r>
      <w:r w:rsidR="00000000" w:rsidRPr="00000000" w:rsidDel="00000000">
        <w:rPr>
          <w:rtl w:val="0"/>
        </w:rPr>
        <w:t xml:space="preserve">, publicēta PEPPOL tīmekļvietnē http://docs.peppol.eu/poacc/billing/3.0/).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Pasūtītājs, sabiedrisko pakalpojumu sniedzējs, kā arī publiskais partneris vai tā pārstāvis iepirkuma līgumā vai publiskās un privātās partnerības līgumā ir tiesīgs paredzēt piegādātājam pienākumu elektroniskajā rēķinā norādīt tādu papildu informāciju par saimniecisko darījumu, kuru var norādīt saskaņā ar piemērojamo standartu. Attiecīgās informācijas apstrādi paredz šo noteikumu </w:t>
      </w:r>
      <w:r w:rsidR="00000000" w:rsidRPr="00000000" w:rsidDel="00000000">
        <w:rPr>
          <w:rtl w:val="0"/>
        </w:rPr>
        <w:t xml:space="preserve">4.</w:t>
      </w:r>
      <w:r w:rsidR="00000000" w:rsidRPr="00000000" w:rsidDel="00000000">
        <w:rPr>
          <w:rtl w:val="0"/>
        </w:rPr>
        <w:t xml:space="preserve"> punktā noteiktā elektronisko rēķinu pamatelementu izmantošanas specifikācija.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Tiešās pārvaldes iestāde nodrošina iespēju piegādātājam iesniegt elektronisko rēķinu, izmantojot oficiālo elektronisko adresi.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Pasūtītājs, sabiedrisko pakalpojumu sniedzējs, publiskais partneris vai tā pārstāvis, izņemot tiešās pārvaldes iestādi, nodrošina iespēju piegādātājam iesniegt elektronisko rēķinu, izmantojot šādus elektronisko rēķinu piegādes kanālus: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oficiālo elektronisko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elektroniskā pasta adresi, kas norādīta pasūtītāja, sabiedrisko pakalpojumu sniedzēja, publiskā partnera vai tā pārstāvja tīmekļvietnē un kas izmantojama saziņai ar attiecīgo pasūtītāju, sabiedrisko pakalpojumu sniedzēju, publisko partneri vai tā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veidu, kas norādīts iepirkuma līgumā vai publiskās un privātās partnerības līgumā.”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Noteikumi stājas spēkā 2019. gada 18. aprīlī.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5.</w:t>
      </w:r>
      <w:r w:rsidR="00000000" w:rsidRPr="00000000" w:rsidDel="00000000">
        <w:rPr>
          <w:vertAlign w:val="superscript"/>
          <w:rtl w:val="0"/>
        </w:rPr>
        <w:t xml:space="preserve">1 </w:t>
      </w:r>
      <w:r w:rsidR="00000000" w:rsidRPr="00000000" w:rsidDel="00000000">
        <w:rPr>
          <w:rtl w:val="0"/>
        </w:rPr>
        <w:t xml:space="preserve">punkts un grozījumi 6.punktā, kas paredz tā piemērošanas izņēmumu attiecībā uz  tiešās pārvaldes iestādi, stājas spēkā vienlaikus ar attiecīgajiem grozījumiem Ministru kabineta 2012.gada 21.februāra noteikumos Nr.134 “Personu apliecinošu dokumentu noteikumi".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21-TA-158</w:t>
    </w:r>
    <w:r>
      <w:br/>
    </w:r>
    <w:r w:rsidR="00000000" w:rsidRPr="00000000" w:rsidDel="00000000">
      <w:rPr>
        <w:rtl w:val="0"/>
      </w:rPr>
      <w:t xml:space="preserve">Izdrukāts 29.07.2026. 23.31 - 2.0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21-TA-158</w:t>
    </w:r>
    <w:r>
      <w:br/>
    </w:r>
    <w:r w:rsidR="00000000" w:rsidRPr="00000000" w:rsidDel="00000000">
      <w:rPr>
        <w:rtl w:val="0"/>
      </w:rPr>
      <w:t xml:space="preserve">Izdrukāts 29.07.2026. 23.31 - 2.0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noteikumu_konsolidētā_versija_21-TA-158.docx</dc:title>
</cp:coreProperties>
</file>

<file path=docProps/custom.xml><?xml version="1.0" encoding="utf-8"?>
<Properties xmlns="http://schemas.openxmlformats.org/officeDocument/2006/custom-properties" xmlns:vt="http://schemas.openxmlformats.org/officeDocument/2006/docPropsVTypes"/>
</file>