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Starptautisko un Latvijas Republikas nacionālo sankciju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 vienlaikus ar likumprojektiem "Grozījumi Krimināllikumā" un "Grozījumi likumā "Par Krimināllikuma spēkā stāšanās un piemērošanas kārtību"".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 likumprojektiem "Grozījumi Krimināllikumā" un "Grozījumi likumā "Par Krimināllikuma spēkā stāšanās un piemērošanas kārtību""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24-TA-2318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