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8. oktobrī (prot. Nr. 67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Veselības aprūpes finansēšanas likuma</w:t>
      </w:r>
      <w:r>
        <w:br/>
      </w:r>
      <w:r w:rsidR="00000000" w:rsidRPr="00000000" w:rsidDel="00000000">
        <w:rPr>
          <w:rStyle w:val="paragraph"/>
          <w:i w:val="1"/>
          <w:rtl w:val="0"/>
        </w:rPr>
        <w:t xml:space="preserve">5. panta otro un trešo daļu, 6. panta otrās daļas 7. un 14. punktu</w:t>
      </w:r>
      <w:r>
        <w:br/>
      </w:r>
      <w:r w:rsidR="00000000" w:rsidRPr="00000000" w:rsidDel="00000000">
        <w:rPr>
          <w:rStyle w:val="paragraph"/>
          <w:i w:val="1"/>
          <w:rtl w:val="0"/>
        </w:rPr>
        <w:t xml:space="preserve">un ceturto daļu, 7. pantu, 8. panta otro daļu</w:t>
      </w:r>
      <w:r>
        <w:br/>
      </w:r>
      <w:r w:rsidR="00000000" w:rsidRPr="00000000" w:rsidDel="00000000">
        <w:rPr>
          <w:rStyle w:val="paragraph"/>
          <w:i w:val="1"/>
          <w:rtl w:val="0"/>
        </w:rPr>
        <w:t xml:space="preserve">un 10. panta trešo daļu,</w:t>
      </w:r>
      <w:r>
        <w:br/>
      </w:r>
      <w:r w:rsidR="00000000" w:rsidRPr="00000000" w:rsidDel="00000000">
        <w:rPr>
          <w:rStyle w:val="paragraph"/>
          <w:i w:val="1"/>
          <w:rtl w:val="0"/>
        </w:rPr>
        <w:t xml:space="preserve">Ārstniecības likuma 3. panta otro daļu,</w:t>
      </w:r>
      <w:r w:rsidR="00000000" w:rsidRPr="00000000" w:rsidDel="00000000">
        <w:rPr>
          <w:rStyle w:val="paragraph"/>
          <w:i w:val="1"/>
          <w:rtl w:val="0"/>
        </w:rPr>
        <w:t xml:space="preserve"> Invaliditātes likuma</w:t>
      </w:r>
      <w:r w:rsidR="00000000" w:rsidRPr="00000000" w:rsidDel="00000000">
        <w:rPr>
          <w:rStyle w:val="paragraph"/>
          <w:i w:val="1"/>
          <w:rtl w:val="0"/>
        </w:rPr>
        <w:t xml:space="preserve"> 11. panta 2. punktu</w:t>
      </w:r>
      <w:r>
        <w:br/>
      </w:r>
      <w:r w:rsidR="00000000" w:rsidRPr="00000000" w:rsidDel="00000000">
        <w:rPr>
          <w:rStyle w:val="paragraph"/>
          <w:i w:val="1"/>
          <w:rtl w:val="0"/>
        </w:rPr>
        <w:t xml:space="preserve">un</w:t>
      </w:r>
      <w:r w:rsidR="00000000" w:rsidRPr="00000000" w:rsidDel="00000000">
        <w:rPr>
          <w:rStyle w:val="paragraph"/>
          <w:i w:val="1"/>
          <w:rtl w:val="0"/>
        </w:rPr>
        <w:t xml:space="preserve"> Černobiļas atomelektrostacijas avārijas seku</w:t>
      </w:r>
      <w:r>
        <w:br/>
      </w:r>
      <w:r w:rsidR="00000000" w:rsidRPr="00000000" w:rsidDel="00000000">
        <w:rPr>
          <w:rStyle w:val="paragraph"/>
          <w:i w:val="1"/>
          <w:rtl w:val="0"/>
        </w:rPr>
        <w:t xml:space="preserve">likvidēšanas dalībnieku un Černobiļas atomelektrostacijas</w:t>
      </w:r>
      <w:r>
        <w:br/>
      </w:r>
      <w:r w:rsidR="00000000" w:rsidRPr="00000000" w:rsidDel="00000000">
        <w:rPr>
          <w:rStyle w:val="paragraph"/>
          <w:i w:val="1"/>
          <w:rtl w:val="0"/>
        </w:rPr>
        <w:t xml:space="preserve">avārijas rezultātā cietušo personu sociālās aizsardzības likuma</w:t>
      </w:r>
      <w:r>
        <w:br/>
      </w:r>
      <w:r w:rsidR="00000000" w:rsidRPr="00000000" w:rsidDel="00000000">
        <w:rPr>
          <w:rStyle w:val="paragraph"/>
          <w:i w:val="1"/>
          <w:rtl w:val="0"/>
        </w:rPr>
        <w:t xml:space="preserve">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28. augusta noteikumos Nr. 555 "Veselības aprūpes pakalpojumu organizēšanas un samaksas kārtība" (Latvijas Vēstnesis, 2018, 176., 251. nr.; 2019, 63., 96., 254. nr.; 2020, 110B., 134A., 248. nr.; 2021, 83., 105., 123A.,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 Dienests ģimenes ārsta praksei par 2021. gadā sasniegtajiem Covid-19 vakcinācijas aptveres rādītājiem veic samaksu atbilstoši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1. ģimenes ārsta praksei, kas nenodrošina vakcināciju pret Covid-19 līgumā ar dienestu noteiktajā kārtībā, maksā par laikposmā no 2021. gada 1. janvāra līdz 2021. gada 30. septembrim sasniegtajiem Covid-19 vakcinācijas aptveres rādītājiem iedzīvotājiem vecumā no 60 gadiem un pacientiem no 18 gadu vecuma ar noteiktām hroniskām saslimšanām, kas publicētas Slimību profilakses un kontroles centra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1.1. 1,00 euro par katru personu, kurai pabeigta vakcinācija, ja vakcinācijas aptvere ir līdz 60 %;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1.2. 2,00 euro par katru personu, kurai pabeigta vakcinācija, ja vakcinācijas aptvere ir no 60 % līdz 80 %;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1.3. 3,00 euro par katru personu, kurai pabeigta vakcinācija, ja vakcinācijas aptvere ir no 80 % līdz 100 %;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 ģimenes ārsta praksei, kas nodrošina vakcināciju pret Covid-19 līgumā ar dienestu noteiktajā kārtībā, 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2.1. par laikposmā no 2021. gada 1. janvāra līdz 2021. gada 31. decembrim sasniegtajiem Covid-19 vakcinācijas aptveres rādītājiem iedzīvotājiem vecumā no 60 gadiem un pacientiem no 18 gadu vecuma ar noteiktām hroniskām saslimšanām, kas publicētas Slimību profilakses un kontroles centra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2.1.1. 2,00 euro par katru personu, kurai pabeigta vakcinācija, ja vakcinācijas aptvere ir līdz 60 %;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2.1.2. 4,00 euro par katru personu, kurai pabeigta vakcinācija, ja vakcinācijas aptvere ir no 60 % līdz 80 %;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2.1.3. 6,00 euro par katru personu, kurai pabeigta vakcinācija, ja vakcinācijas aptvere ir no 80 % līdz 100 %;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2.2. par laikposmā no 2021. gada 1. janvāra līdz 2021. gada 31. decembrim sasniegtajiem Covid-19 vakcinācijas aptveres rādītājiem iedzīvotājiem, kas nav minēti šo noteikumu 245.</w:t>
      </w:r>
      <w:r w:rsidR="00000000" w:rsidRPr="00000000" w:rsidDel="00000000">
        <w:rPr>
          <w:vertAlign w:val="superscript"/>
          <w:rtl w:val="0"/>
        </w:rPr>
        <w:t xml:space="preserve">3</w:t>
      </w:r>
      <w:r w:rsidR="00000000" w:rsidRPr="00000000" w:rsidDel="00000000">
        <w:rPr>
          <w:rtl w:val="0"/>
        </w:rPr>
        <w:t xml:space="preserve">2.1.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2.2.1. 1,00 euro par katru personu, kurai pabeigta vakcinācija, ja vakcinācijas aptvere ir līdz 50 %;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2.2.2. 3,00 euro par katru personu, kurai pabeigta vakcinācija, ja vakcinācijas aptvere ir no 50 % līdz 70 %;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2.2.3. 5,00 euro par katru personu, kurai pabeigta vakcinācija, ja vakcinācijas aptvere ir no 70 % līdz 100 %;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3</w:t>
      </w:r>
      <w:r w:rsidR="00000000" w:rsidRPr="00000000" w:rsidDel="00000000">
        <w:rPr>
          <w:rtl w:val="0"/>
        </w:rPr>
        <w:t xml:space="preserve">2.3. dienests šo noteikumu 245.</w:t>
      </w:r>
      <w:r w:rsidR="00000000" w:rsidRPr="00000000" w:rsidDel="00000000">
        <w:rPr>
          <w:vertAlign w:val="superscript"/>
          <w:rtl w:val="0"/>
        </w:rPr>
        <w:t xml:space="preserve">3</w:t>
      </w:r>
      <w:r w:rsidR="00000000" w:rsidRPr="00000000" w:rsidDel="00000000">
        <w:rPr>
          <w:rtl w:val="0"/>
        </w:rPr>
        <w:t xml:space="preserve">2. apakšpunktā minētajām ģimenes ārstu praksēm papildus veic vakcinācijas aptveres sasniegšanas novērtēšanu par laikposmu no 2021. gada 1. janvāra līdz 2021. gada 30. septembrim un līdz 2021. gada 31. decembrim veic starpposma maksājumu par 2021. gadā sasniegtajiem Covid-19 vakcinācijas aptveres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245.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4</w:t>
      </w:r>
      <w:r w:rsidR="00000000" w:rsidRPr="00000000" w:rsidDel="00000000">
        <w:rPr>
          <w:rtl w:val="0"/>
        </w:rPr>
        <w:t xml:space="preserve"> Ģimenes ārsta praksei, kas savā praksē veic vakcināciju pret Covid-19: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4</w:t>
      </w:r>
      <w:r w:rsidR="00000000" w:rsidRPr="00000000" w:rsidDel="00000000">
        <w:rPr>
          <w:rtl w:val="0"/>
        </w:rPr>
        <w:t xml:space="preserve">1. dienests veic papildu samaksu 11,87 euro apmērā par katram ģimenes ārsta pacientu sarakstā reģistrētajam pacientam ievadīto vakcīnas devu laikposmā no 2021. gada 1. oktobra līdz 2021.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4</w:t>
      </w:r>
      <w:r w:rsidR="00000000" w:rsidRPr="00000000" w:rsidDel="00000000">
        <w:rPr>
          <w:rtl w:val="0"/>
        </w:rPr>
        <w:t xml:space="preserve">2. ir tiesības līgumā ar dienestu noteiktajā kārtībā saņemt izdevumu kompensāciju līdz 440 euro apmērā par ģimenes ārsta praksē nodarbināto personu veselības veicināšanas un rehabilitācijas pasākumiem, kas saņemti laikposmā no 2021.gada 1. oktobra līdz 2022. gada 31. augustam."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21-TA-243</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21-TA-243</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noteikumu_(grozījumu)_projekts_21-TA-243.docx</dc:title>
</cp:coreProperties>
</file>

<file path=docProps/custom.xml><?xml version="1.0" encoding="utf-8"?>
<Properties xmlns="http://schemas.openxmlformats.org/officeDocument/2006/custom-properties" xmlns:vt="http://schemas.openxmlformats.org/officeDocument/2006/docPropsVTypes"/>
</file>