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Sklerociju un cieto melnplauku piejaukuma daudzums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13.07.2010. noteikumu Nr. 632 redakcijā, kas grozīta ar MK 26.05.2020. noteikumiem Nr. 318)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Pieļaujamais maksimālais sklerociju (</w:t>
      </w:r>
      <w:r w:rsidR="00000000" w:rsidRPr="00000000" w:rsidDel="00000000">
        <w:rPr>
          <w:i w:val="1"/>
          <w:rtl w:val="0"/>
        </w:rPr>
        <w:t xml:space="preserve">Claviceps purpurea</w:t>
      </w:r>
      <w:r w:rsidR="00000000" w:rsidRPr="00000000" w:rsidDel="00000000">
        <w:rPr>
          <w:rtl w:val="0"/>
        </w:rPr>
        <w:t xml:space="preserve">) vai sklerociju daļu daudzums un cieto melnplauku (</w:t>
      </w:r>
      <w:r w:rsidR="00000000" w:rsidRPr="00000000" w:rsidDel="00000000">
        <w:rPr>
          <w:i w:val="1"/>
          <w:rtl w:val="0"/>
        </w:rPr>
        <w:t xml:space="preserve">Tilletia caries</w:t>
      </w:r>
      <w:r w:rsidR="00000000" w:rsidRPr="00000000" w:rsidDel="00000000">
        <w:rPr>
          <w:rtl w:val="0"/>
        </w:rPr>
        <w:t xml:space="preserve">) piejaukuma daudzums sēklu paraugā (1000 g):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634"/>
        <w:gridCol w:w="1281"/>
        <w:gridCol w:w="2910"/>
        <w:tblGridChange w:id="0">
          <w:tblGrid>
            <w:gridCol w:w="514"/>
            <w:gridCol w:w="4634"/>
            <w:gridCol w:w="1281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kategorija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Sklerociji (</w:t>
            </w:r>
            <w:r w:rsidR="00000000" w:rsidRPr="00000000" w:rsidDel="00000000">
              <w:rPr>
                <w:i w:val="1"/>
                <w:rtl w:val="0"/>
              </w:rPr>
              <w:t xml:space="preserve">Claviceps purpurea</w:t>
            </w:r>
            <w:r w:rsidR="00000000" w:rsidRPr="00000000" w:rsidDel="00000000">
              <w:rPr>
                <w:rtl w:val="0"/>
              </w:rPr>
              <w:t xml:space="preserve">) (gab.)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Cietās melnplaukas (</w:t>
            </w:r>
            <w:r w:rsidR="00000000" w:rsidRPr="00000000" w:rsidDel="00000000">
              <w:rPr>
                <w:i w:val="1"/>
                <w:rtl w:val="0"/>
              </w:rPr>
              <w:t xml:space="preserve">Tilletia caries</w:t>
            </w:r>
            <w:r w:rsidR="00000000" w:rsidRPr="00000000" w:rsidDel="00000000">
              <w:rPr>
                <w:rtl w:val="0"/>
              </w:rPr>
              <w:t xml:space="preserve">) vai to daļas kviešu sēklās (% no masas)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(C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C – izņemot hibrīdos rudzus)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0,002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(C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0,004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Pieļaujamais maksimālais sklerociju (</w:t>
      </w:r>
      <w:r w:rsidR="00000000" w:rsidRPr="00000000" w:rsidDel="00000000">
        <w:rPr>
          <w:i w:val="1"/>
          <w:rtl w:val="0"/>
        </w:rPr>
        <w:t xml:space="preserve">Claviceps purpurea</w:t>
      </w:r>
      <w:r w:rsidR="00000000" w:rsidRPr="00000000" w:rsidDel="00000000">
        <w:rPr>
          <w:rtl w:val="0"/>
        </w:rPr>
        <w:t xml:space="preserve">) vai sklerociju daļu daudzums hibrīdu rudzu sēklu paraugā (1000 g):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538"/>
        <w:gridCol w:w="4347"/>
        <w:tblGridChange w:id="0">
          <w:tblGrid>
            <w:gridCol w:w="514"/>
            <w:gridCol w:w="4538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kategorija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Sklerociji (</w:t>
            </w:r>
            <w:r w:rsidR="00000000" w:rsidRPr="00000000" w:rsidDel="00000000">
              <w:rPr>
                <w:i w:val="1"/>
                <w:rtl w:val="0"/>
              </w:rPr>
              <w:t xml:space="preserve">Claviceps purpurea</w:t>
            </w:r>
            <w:r w:rsidR="00000000" w:rsidRPr="00000000" w:rsidDel="00000000">
              <w:rPr>
                <w:rtl w:val="0"/>
              </w:rPr>
              <w:t xml:space="preserve">) (gab.)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(C)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