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Ekspluatējamu ēku energoefektivitātes minimālās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minimālās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(turpmāk – ēka) enerģijas patēriņa līmenim un primārās enerģijas patēriņa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inženiertehnisko sistēmu automatizācijas un vadības sistēmu funkcionalitātei, telpu mikroklimatu pašregulējošu ierīču uzstādīšanai, ēkā patērētā energonesēja vai enerģijas uzskaitei;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elektrotransportlīdzekļu uzlādes punktu ierīkošanai ēkā.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Dzīvojama ēka uzskatāma par atbilstošu enerģijas patēriņa līmeņa un primārās enerģijas patēriņa līmeņa minimālajām prasībām, ja tās energoefektivitātes klases rādītājs saskaņā ar normatīvajiem aktiem ēku energosertifikācijas jomā atbilst E klasei vai augstākai klasei.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Nedzīvojamai ēkai primārās kopējās enerģijas patēriņš no 2030. gada nepārsniedz 550 kWh/(m</w:t>
      </w:r>
      <w:r w:rsidR="00000000" w:rsidRPr="00000000" w:rsidDel="00000000">
        <w:rPr>
          <w:vertAlign w:val="superscript"/>
          <w:rtl w:val="0"/>
        </w:rPr>
        <w:t xml:space="preserve">2</w:t>
      </w:r>
      <w:r w:rsidR="00000000" w:rsidRPr="00000000" w:rsidDel="00000000">
        <w:rPr>
          <w:rtl w:val="0"/>
        </w:rPr>
        <w:t xml:space="preserve">/gadā), no 2033. gada - 470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atbilstību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siltumenerģijas patēriņu pēdējos trijos kalendāra gados,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atbilstību primārās enerģijas patēriņa līmenim nosaka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ēkas energosertifikāciju normatīvajos aktos par ēku energosertifikāciju paredzētajā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vidējo ēkas energoresursu patēriņu pēdējos trijos kalendāra gados un šo patēriņu reizina ar primārās enerģijas faktoriem katram energonesējam. Primārās enerģijas faktorus nosaka atbilstoši normatīvajiem aktiem par ēkas energoefektivitātes aprēķina metodēm, un vidējo ēkas energoresursu patēriņu attiecina, ņemot vērā ēkas references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 mājā un nedzīvojamā ēkā patērēto siltumenerģiju uzskaita atsevišķi katrai dzīvojamo un nedzīvojamo telpu grupai, izmantojot šādus uzskaites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patērētās siltumenerģijas uzskaitē izmanto attālināti nolasāmus individuālus siltumenerģijas patēriņa skaitītājus, ja tas ir tehniski iespējams un ekonomiski pamatoti. Individuālie siltumenerģijas skaitītāji atbilst metroloģiskajām prasībām, kas noteiktas normatīvajos aktos par mērījumu vienotību;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individuālu skaitītāju izmantošana nav tehniski iespējama vai nav ekonomiski pamatota, siltumenerģijas patēriņa mērīšanai izmanto attālināti nolasāmus individuālus siltuma maksas sadalītājus, ar kuriem mēra siltumenerģijas patēriņu katrā radiatorā. Individuālie siltuma maksas sadalītāji atbilst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individuālu siltuma maksas sadalītāju uzstādīšana katram sildelementam nav tehniski iespējama vai nav ekonomiski pamatota, izmanto  attālināti nolasāmu siltumenerģijas patēriņa noteikšanas sistēmu, izmantojot tiešsaistē periodiski fiksētus siltumnesēja caurplūdes un apkures cauruļvadu virsmu temperatūras datus (turpmāk – siltumenerģijas patēriņa noteikšanas sistēma), ja tas ir tehniski iespējams  un ekonomiski pamatoti. Siltumenerģijas patēriņa noteikšanas sistēma atbilst dzīvojamās mājas īpašnieku un normatīvajā aktā par radioiekārtu atbilstības novērtēšanu, piedāvāšanu tirgū, uzstādīšanu, lietošanu un uzraudzību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dzīvojamā mājā un nedzīvojamā ēkā uzstāda individuālos skaitītājus, kas mēra mājsaimniecības karstā ūdens patēriņu katrā ēkas vienībā, izņemot gadījumu, ja to uzstādīšana nav tehniski iespējama vai nav ekonomiski pamatota attiecībā pret potenciālo enerģijas ietaupījumu. Šādu individuālo skaitītāju uzstādīšanas tehnisko un ekonomisko pamatojumu izvērtē ēkas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jauna uzstādītie individuālie skaitītāji, kas mēra mājsaimniecības karstā ūdens patēriņu katrā ēkas vienībā, ir attālināti nolasāmi.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 punkts stājas spēkā 12.10.2025., sk. 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Individuālu siltumenerģijas patēriņa skaitītāju daudzdzīvokļu dzīvojamās mājas telpu grupā uzstāda, ja ir tehniski iespējams ar vienu skaitītāju uzskaitīt visā telpu grupā patērēto siltumenerģiju.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Individuālu siltuma maksas sadalītāju, individuālu siltumenerģijas patēriņa skaitītāju un siltumenerģijas patēriņa noteikšanas sistēmas uzstādīšanas ekonomisko pamatojumu izvērtē dzīvojamās mājas pārvaldītājs atbilstoši individuālu siltuma maksas sadalītāju uzstādīšanas ekonomiskā pamatojuma aprēķināšanas metodikai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individuālu siltumenerģijas patēriņa skaitītāju uzstādīšanas ekonomiskā pamatojuma aprēķināšanas metodikai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siltumenerģijas patēriņa noteikšanas sistēmas uzstādīšanas ekonomiskā pamatojuma aprēķināšanas metodikai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Individuālu siltuma maksas sadalītāju, individuālu siltumenerģijas patēriņa skaitītāju vai siltumenerģijas patēriņa noteikšanas sistēmas uzstādīšana ir ekonomiski pamatota, ja, piemērojot Valsts kases tīmekļvietnē publicēto pēdējā pieejamā ceturkšņa attiecīgo diskonta likmi ilgtermiņa ieguldījumu patiesās vērtības noteikšanai saimnieciskās darbības veidam "Nekustamais īpašums (vispārīgi)", neto tagadnes vērtība 10 gadu atmaksāšanās periodam ir pozitīva.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Attālināti nolasāmu individuālu siltuma maksas sadalītāju, attālināti nolasāmu individuālu siltumenerģijas patēriņa skaitītāju un siltumenerģijas patēriņa noteikšanas sistēmas uzstādīšanas tehnisko iespējamību un ekonomisko pamatojumu atkārtoti izvērtē pēc tam, kad daudzdzīvokļu dzīvojamā mājā un nedzīvojamā ēkā, kurā individuāli siltuma maksas sadalītāji, individuāli siltumenerģijas patēriņa skaitītāji vai siltumenerģijas patēriņa noteikšanas sistēma nav uzstādīta, ir veikta apkures sistēmas atjaunošana vai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Nedzīvojamas ēkas aprīko ar pašregulējošām ierīcēm gaisa temperatūras, relatīvā gaisa mitruma un gaisa apmaiņas (cirkulācijas) plūsmas ātruma atsevišķai regulēšanai katrā telpā (vides kvalitātes monitoringa sistēma) vai telpu grupā, ja tiek mainīta ēkas apkures sistēmas daļa, kas ražo siltumenerģiju (siltumģenerators), ja tas ir tehniski piemēroti, ekonomiski un funkcionāli īstenojami.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Nedzīvojamām ēkām, ja tas ir tehniski un ekonomiski īstenojami, nodrošina automātisku apgaismojuma vadības ierīču uzstādīšanu.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prasības attiecībā uz automātisku apgaismojuma vadības ierīču uzstādīšanu nedzīvojamās ēkās izpilda sākot no 2027. gada 31. decembra attiecībā uz ēkām, kuru apkures sistēmas, gaisa kondicionēšanas sistēmas, kombinētās telpu apkures un ventilācijas sistēmas vai kombinētās gaisa kondicionēšanas un ventilācijas sistēmas lietderīgā nominālā jauda pārsniedz 290 kilovatus, un no 2029. gada 31. decembra attiecībā uz ēkām, kuru minēto sistēmu lietderīgā nominālā jauda pārsniedz 70 kilovatus.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Publiskā sektora subjekta ēkās nodrošina piemērotu saules enerģijas iekārtu uzstādīšanu, ja tas ir tehniski piemēroti, ekonomiski un funkcionāli īstenojami.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pienākumu publiskā sektora subjekta ēkās nodrošināt piemērotu saules enerģijas iekārtu uzstādīšanu izpilda līdz 2027. gada 31. decembrim attiecībā uz ēkām, kuru kopējā platība pārsniedz 2000 m</w:t>
      </w:r>
      <w:r w:rsidR="00000000" w:rsidRPr="00000000" w:rsidDel="00000000">
        <w:rPr>
          <w:vertAlign w:val="superscript"/>
          <w:rtl w:val="0"/>
        </w:rPr>
        <w:t xml:space="preserve">2</w:t>
      </w:r>
      <w:r w:rsidR="00000000" w:rsidRPr="00000000" w:rsidDel="00000000">
        <w:rPr>
          <w:rtl w:val="0"/>
        </w:rPr>
        <w:t xml:space="preserve">, līdz 2028. gada 31. decembrim – attiecībā uz ēkām, kuru kopējā platība pārsniedz 750 m</w:t>
      </w:r>
      <w:r w:rsidR="00000000" w:rsidRPr="00000000" w:rsidDel="00000000">
        <w:rPr>
          <w:vertAlign w:val="superscript"/>
          <w:rtl w:val="0"/>
        </w:rPr>
        <w:t xml:space="preserve">2</w:t>
      </w:r>
      <w:r w:rsidR="00000000" w:rsidRPr="00000000" w:rsidDel="00000000">
        <w:rPr>
          <w:rtl w:val="0"/>
        </w:rPr>
        <w:t xml:space="preserve">, un līdz 2030. gada 31. decembrim – attiecībā uz ēkām, kuru kopējā platība pārsniedz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prasību par saules enerģijas iekārtu uzstādīšanu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kas ir kultūras piemineklis vai kurā atrodas kultūras piemineklis, vai ēka atrodas kultūras pieminekļu teritorijā, vai pašvaldība ēkai noteikusi kultūrvēsturisko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kas atrodas aizsargājamā teritorijā vai tai noteikti arhitektoniski ierobežojumi, kas nepieļauj saules enerģijas sistēmu uzstādīšanu;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ēkai, kuras faktiskā enerģijas patēriņa cikls būtiski nesakrīt ar saules enerģijas ražošanas laiku, tajā skaitā izglītības iestāžu ēkas, piemēram, skolas, kurās mācību process nenotiek vasaras periodā, kad saules enerģijas sistēmas darbojas visefektīvāk;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ēkai, kas paredzēta izmantošanai periodiski,piemēram, tikai atsevišķu pasākumu laikā, vai ar būtiskiem pārtraukumiem;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uzstādīšanu būtiski ierobežo pastāvīgs ēnojums vai citi ārējie apstākļi.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automatizācijas un vadības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pastāvīgi uzraudzīt, reģistrēt, analizēt un koriģēt ēkas enerģijas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salīdzināt un novērtēt ēkas energoefektivitāti, atklāt ēkas inženiertehniskās sistēmas efektivitātes zudumus un informēt ēkas pārvaldītāju par ēkas energoefektivitātes uzlabošanas iespējām;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savietojamību ar ēkas inženiertehniskajām sistēmām, izmantojot atvērtus komunikācijas protokolus un nodrošinot neatkarību no konkrēta iekārtu ražotāja;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vides kvalitātes monitoringu, nodrošinot vismaz gaisa temperatūras, relatīvā mitruma un CO</w:t>
      </w:r>
      <w:r w:rsidR="00000000" w:rsidRPr="00000000" w:rsidDel="00000000">
        <w:rPr>
          <w:vertAlign w:val="subscript"/>
          <w:rtl w:val="0"/>
        </w:rPr>
        <w:t xml:space="preserve">2</w:t>
      </w:r>
      <w:r w:rsidR="00000000" w:rsidRPr="00000000" w:rsidDel="00000000">
        <w:rPr>
          <w:rtl w:val="0"/>
        </w:rPr>
        <w:t xml:space="preserve"> koncentrācijas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2027. gada 1. janvārim nedzīvojamā ēkā ar vairāk nekā 20 autostāvvietām ierīko: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elektrotransportlīdzekļu uzlādes punktu uz 10 autostāvvietām vai ierīko kabeļkanālus vismaz 50 % automašīnu stāvvietām;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velosipēdu stāvvietas, kas veido vismaz 10 % no kopējās lietotāju kapacitātes, paredzot vietu arī lielāka izmēra velosipēdiem nekā standarta velosipēdi.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2033. gada 1. janvārim nedzīvojamā ēkā, kas ir publiskā sektora subjekta valdījumā, ierīko kabeļus vismaz 50 % automašīnu stāvvietām.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autostāvvietām autotransportam, kas ir konstruēts un izgatavots lietojumam galvenokārt būvlaukumos vai karjeros, ostās vai lidostās, kā arī autotransportam, kas ir konstruēts un izgatavots vai pielāgots bruņoto spēku, civilās aizsardzības dienestu, ugunsdzēsības dienestu, sabiedriskās kārtības uzturēšanas dienestu, kā arī neatliekamās medicīniskās palīdzības dienestu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autostāvvietām pie publiskā sektora subjektu ēkām: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 tiešā funkcionālā tuvumā (piemēram, viena zemesgabala vai kvartāla ietvaros) atrodas koplietošanas elektrotransportlīdzekļu uzlādes punkts;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kurām funkcionālu vai drošības apsvērumu dēļ nav atļauta vai ir ierobežota automašīnu novietošana.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noteiktās prasības par velosipēdu stāvvietu skaitu var koriģēt ar būvspeciālista pamatojumu, to iekļaujot būvniecības ieceres dokumentācijā.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minēto prasību par velosipēdu stāvvietu ierīkošanu nepiemēro nedzīvojamām ēkām, kurām parasti ar velosipēdu nepiekļūst, piemēram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kurām piekļuve ar velosipēdu ir fiziski ierobežota vai bīstama infrastruktūras trūkuma dēļ, piemēram, ja objekts, tostarp veikals, lielveikals vai birojs, atrodas ārpus apdzīvotām vietām vai pie autoceļiem, kuru sasniegšanai nepieciešams izmantot maģistrāles bez veloinfrastruktūras;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kurās ir noteikts paaugstinātas drošības vai speciāls piekļuves režīms, kas liedz personīgo transportlīdzekļu ienešanu vai novietošanu teritorijā, tostarp valsts aizsardzības iestādēs, valsts drošības iestādēs, ieslodzījuma vietās, kritiskās infrastruktūras objektu slēgtajās zonās vai rūpnieciskās ražošanas objektu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ir funkcionāli paredzētas bīstamiem tehnoloģiskiem procesiem, kuru norises vietās drošības apsvērumu dēļ ir aizliegta brīva personu pārvietošanās ar velosipēdu;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kalpo kā automatizēti industriālie vai tehniskie punkti bez pastāvīgām darba vietām, kuros uzturēšanās ir epizodiska un saistīta tikai ar iekārtu apkopi vai specifisku kravu pārvadāšanu;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tiek izmantotas specifiskiem lauksaimniecības vai mežsaimniecības mērķiem, atrodoties ievērojamā attālumā no apdzīvotām vietām un kalpojot tikai tehnikas, lopu vai izejvielu uzglabāšanai;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kurās saimnieciskās darbības rakstura dēļ apmeklētāju un klientu piekļuve ar velosipēdu ir praktiski neiespējama vai mazticama, piemēram, tirdzniecības vietās, kurās pārdod lielizmēra preces, ko nav iespējams transportēt ar velosipēdu.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Vietās, kur automašīnu paredzēts novietot uz neilgu laiku, piemēram, vairumtirdzniecības un mazumtirdzniecības pakalpojumu ēkas autostāvvietā, kur parasti to novieto uz laiku līdz divām stundām,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minēto uzlādes punktu skaitu var samazināt uzstādot vienu vai vairākus lieljaudas uzlādes punktus, vienlaikus nodrošinot, ka attiecīgajā vietā visu uzlādes punktu jaudu summa sakrīt vai pārsniedz jaudu, kādu nodrošinātu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minētais uzlādes punktu skaits, pieņemot, ka katra jauda būtu 11 kW. Minētais princips piemērojams tik tālu, cik tas nodrošinātu autostāvvietas lietotāju vajadzības par nepieciešamo uzlādes punktu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pastāv kopējā tīkla ierobežojumi vai ir grūti prognozēt ierīkojamo kabeļu saistītās tālākās faktiskās vajadzības, tad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kabeļus pieļaujams aizstāt ar kabeļkanāliem ar ievilcējvadu un kabeļrenēm iekštelpu autostāvvietās un zonās bez cietā seguma.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5., 6., 7., 8., 9., 10. un 11. punkts stājas spēkā 2021.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Individuālajiem siltuma maksas sadalītājiem un individuālajiem siltumenerģijas patēriņa skaitītājiem, kas uzstādīti pirms 2021. gada 1. janvāra un nav attālināti nolasāmi, līdz 2027. gada 1. janvārim nodrošina attālinātu nolasāmību vai tos aizstāj ar attālināti nolasāmiem individuāliem siltuma maksas sadalītājiem, individuāliem siltumenerģijas patēriņa skaitītājiem vai siltumenerģijas patēriņa noteikšanas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stājas spēkā 2025. gada 12.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Individuāliem skaitītājiem, kas mēra mājsaimniecības karstā ūdens patēriņu katrā ēkas vienībā, kas ir uzstādīti pirms 2025. gada 12. oktobra un nav attālināti nolasāmi, līdz 2027. gada 1. janvārim nodrošina attālinātu nolasāmību vai tos aizstāj ar attālināti nolasāmiem, ja tas ir ekonomiski 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nepiemēro līdz 2029. gada 1. janvārim attiecībā uz nedzīvojamajām ēkām, kas ir atjaunotas no 2022. gada 28. maija līdz 2024. gada 28. maijam.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28.01.2025. noteikumiem Nr. 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30. maija Direktīvas (ES) </w:t>
      </w:r>
      <w:r w:rsidR="00000000" w:rsidRPr="00000000" w:rsidDel="00000000">
        <w:rPr>
          <w:rtl w:val="0"/>
        </w:rPr>
        <w:t xml:space="preserve">2018/844</w:t>
      </w:r>
      <w:r w:rsidR="00000000" w:rsidRPr="00000000" w:rsidDel="00000000">
        <w:rPr>
          <w:rtl w:val="0"/>
        </w:rPr>
        <w:t xml:space="preserve">, ar ko groza Direktīvu </w:t>
      </w:r>
      <w:r w:rsidR="00000000" w:rsidRPr="00000000" w:rsidDel="00000000">
        <w:rPr>
          <w:rtl w:val="0"/>
        </w:rPr>
        <w:t xml:space="preserve">2010/31/ES</w:t>
      </w:r>
      <w:r w:rsidR="00000000" w:rsidRPr="00000000" w:rsidDel="00000000">
        <w:rPr>
          <w:rtl w:val="0"/>
        </w:rPr>
        <w:t xml:space="preserve"> par ēku energoefektivitāti un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2018/2002</w:t>
      </w:r>
      <w:r w:rsidR="00000000" w:rsidRPr="00000000" w:rsidDel="00000000">
        <w:rPr>
          <w:rtl w:val="0"/>
        </w:rPr>
        <w:t xml:space="preserve">, ar ko groza Direktīvu </w:t>
      </w:r>
      <w:r w:rsidR="00000000" w:rsidRPr="00000000" w:rsidDel="00000000">
        <w:rPr>
          <w:rtl w:val="0"/>
        </w:rPr>
        <w:t xml:space="preserve">2012/27/ES</w:t>
      </w:r>
      <w:r w:rsidR="00000000" w:rsidRPr="00000000" w:rsidDel="00000000">
        <w:rPr>
          <w:rtl w:val="0"/>
        </w:rPr>
        <w:t xml:space="preserve"> par energoefektivitāti;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2023. gada 13. septembra Direktīvas (ES) </w:t>
      </w:r>
      <w:r w:rsidR="00000000" w:rsidRPr="00000000" w:rsidDel="00000000">
        <w:rPr>
          <w:rtl w:val="0"/>
        </w:rPr>
        <w:t xml:space="preserve">2023/1791</w:t>
      </w:r>
      <w:r w:rsidR="00000000" w:rsidRPr="00000000" w:rsidDel="00000000">
        <w:rPr>
          <w:rtl w:val="0"/>
        </w:rPr>
        <w:t xml:space="preserve"> par energoefektivitāti un ar ko groza Regulu (ES) 2023/955 (pārstrādātā redakcija).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2024. gada 24. aprīļa Direktīvas (ES) 2024/1275 par ēku energosniegumu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29.07.2026. 23.56 - 6.0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26-TA-329</w:t>
    </w:r>
    <w:r>
      <w:br/>
    </w:r>
    <w:r w:rsidR="00000000" w:rsidRPr="00000000" w:rsidDel="00000000">
      <w:rPr>
        <w:rtl w:val="0"/>
      </w:rPr>
      <w:t xml:space="preserve">Izdrukāts 29.07.2026. 23.56 - 6.0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noteikumu_konsolidētā_versija_26-TA-329.docx</dc:title>
</cp:coreProperties>
</file>

<file path=docProps/custom.xml><?xml version="1.0" encoding="utf-8"?>
<Properties xmlns="http://schemas.openxmlformats.org/officeDocument/2006/custom-properties" xmlns:vt="http://schemas.openxmlformats.org/officeDocument/2006/docPropsVTypes"/>
</file>